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5"/>
        <w:gridCol w:w="5103"/>
      </w:tblGrid>
      <w:tr w:rsidR="007002D1" w:rsidRPr="001D50E3" w:rsidTr="007002D1">
        <w:trPr>
          <w:trHeight w:val="222"/>
          <w:jc w:val="center"/>
        </w:trPr>
        <w:tc>
          <w:tcPr>
            <w:tcW w:w="3315" w:type="dxa"/>
            <w:tcBorders>
              <w:top w:val="single" w:sz="4" w:space="0" w:color="auto"/>
              <w:left w:val="single" w:sz="4" w:space="0" w:color="auto"/>
              <w:bottom w:val="single" w:sz="4" w:space="0" w:color="auto"/>
              <w:right w:val="single" w:sz="4" w:space="0" w:color="auto"/>
            </w:tcBorders>
            <w:hideMark/>
          </w:tcPr>
          <w:p w:rsidR="007002D1" w:rsidRPr="001D50E3" w:rsidRDefault="007002D1" w:rsidP="00754C28">
            <w:pPr>
              <w:spacing w:after="0" w:line="276" w:lineRule="auto"/>
              <w:jc w:val="both"/>
              <w:rPr>
                <w:rFonts w:ascii="Arial" w:eastAsia="Calibri" w:hAnsi="Arial" w:cs="Arial"/>
                <w:b/>
                <w:noProof/>
                <w:lang w:val="mk-MK"/>
              </w:rPr>
            </w:pPr>
            <w:bookmarkStart w:id="0" w:name="_GoBack"/>
            <w:bookmarkEnd w:id="0"/>
            <w:r w:rsidRPr="001D50E3">
              <w:rPr>
                <w:rFonts w:ascii="Arial" w:eastAsia="Calibri" w:hAnsi="Arial" w:cs="Arial"/>
                <w:b/>
                <w:noProof/>
              </w:rPr>
              <w:t xml:space="preserve">CCI </w:t>
            </w:r>
            <w:r w:rsidR="00406AAB" w:rsidRPr="001D50E3">
              <w:rPr>
                <w:rFonts w:ascii="Arial" w:eastAsia="Calibri" w:hAnsi="Arial" w:cs="Arial"/>
                <w:b/>
                <w:noProof/>
                <w:lang w:val="mk-MK"/>
              </w:rPr>
              <w:t>(Nurmi i Programit</w:t>
            </w:r>
            <w:r w:rsidRPr="001D50E3">
              <w:rPr>
                <w:rFonts w:ascii="Arial" w:eastAsia="Calibri" w:hAnsi="Arial" w:cs="Arial"/>
                <w:b/>
                <w:noProof/>
                <w:lang w:val="mk-MK"/>
              </w:rPr>
              <w:t>)</w:t>
            </w:r>
          </w:p>
        </w:tc>
        <w:tc>
          <w:tcPr>
            <w:tcW w:w="5103" w:type="dxa"/>
            <w:tcBorders>
              <w:top w:val="single" w:sz="4" w:space="0" w:color="auto"/>
              <w:left w:val="single" w:sz="4" w:space="0" w:color="auto"/>
              <w:bottom w:val="single" w:sz="4" w:space="0" w:color="auto"/>
              <w:right w:val="single" w:sz="4" w:space="0" w:color="auto"/>
            </w:tcBorders>
            <w:hideMark/>
          </w:tcPr>
          <w:p w:rsidR="007002D1" w:rsidRPr="001D50E3" w:rsidRDefault="007002D1" w:rsidP="00754C28">
            <w:pPr>
              <w:spacing w:after="0" w:line="276" w:lineRule="auto"/>
              <w:jc w:val="both"/>
              <w:rPr>
                <w:rFonts w:ascii="Arial" w:eastAsia="Calibri" w:hAnsi="Arial" w:cs="Arial"/>
                <w:noProof/>
                <w:lang w:val="sq-AL"/>
              </w:rPr>
            </w:pPr>
            <w:r w:rsidRPr="001D50E3">
              <w:rPr>
                <w:rFonts w:ascii="Arial" w:eastAsia="Calibri" w:hAnsi="Arial" w:cs="Arial"/>
                <w:noProof/>
              </w:rPr>
              <w:t xml:space="preserve">[15 </w:t>
            </w:r>
            <w:r w:rsidRPr="001D50E3">
              <w:rPr>
                <w:rFonts w:ascii="Arial" w:eastAsia="Calibri" w:hAnsi="Arial" w:cs="Arial"/>
                <w:noProof/>
                <w:lang w:val="sq-AL"/>
              </w:rPr>
              <w:t>Karakteristika )</w:t>
            </w:r>
          </w:p>
        </w:tc>
      </w:tr>
      <w:tr w:rsidR="007002D1" w:rsidRPr="001D50E3" w:rsidTr="007002D1">
        <w:trPr>
          <w:trHeight w:val="269"/>
          <w:jc w:val="center"/>
        </w:trPr>
        <w:tc>
          <w:tcPr>
            <w:tcW w:w="3315" w:type="dxa"/>
            <w:tcBorders>
              <w:top w:val="single" w:sz="4" w:space="0" w:color="auto"/>
              <w:left w:val="single" w:sz="4" w:space="0" w:color="auto"/>
              <w:bottom w:val="single" w:sz="4" w:space="0" w:color="auto"/>
              <w:right w:val="single" w:sz="4" w:space="0" w:color="auto"/>
            </w:tcBorders>
            <w:hideMark/>
          </w:tcPr>
          <w:p w:rsidR="007002D1" w:rsidRPr="001D50E3" w:rsidRDefault="007002D1" w:rsidP="00754C28">
            <w:pPr>
              <w:spacing w:after="0" w:line="276" w:lineRule="auto"/>
              <w:jc w:val="both"/>
              <w:rPr>
                <w:rFonts w:ascii="Arial" w:eastAsia="Calibri" w:hAnsi="Arial" w:cs="Arial"/>
                <w:b/>
                <w:noProof/>
                <w:lang w:val="sq-AL"/>
              </w:rPr>
            </w:pPr>
            <w:r w:rsidRPr="001D50E3">
              <w:rPr>
                <w:rFonts w:ascii="Arial" w:eastAsia="Calibri" w:hAnsi="Arial" w:cs="Arial"/>
                <w:b/>
                <w:noProof/>
                <w:lang w:val="sq-AL"/>
              </w:rPr>
              <w:t>Titulli</w:t>
            </w:r>
          </w:p>
        </w:tc>
        <w:tc>
          <w:tcPr>
            <w:tcW w:w="5103" w:type="dxa"/>
            <w:tcBorders>
              <w:top w:val="single" w:sz="4" w:space="0" w:color="auto"/>
              <w:left w:val="single" w:sz="4" w:space="0" w:color="auto"/>
              <w:bottom w:val="single" w:sz="4" w:space="0" w:color="auto"/>
              <w:right w:val="single" w:sz="4" w:space="0" w:color="auto"/>
            </w:tcBorders>
            <w:hideMark/>
          </w:tcPr>
          <w:p w:rsidR="007002D1" w:rsidRPr="00754C28" w:rsidRDefault="007002D1" w:rsidP="00754C28">
            <w:pPr>
              <w:spacing w:after="0" w:line="276" w:lineRule="auto"/>
              <w:jc w:val="both"/>
              <w:rPr>
                <w:rFonts w:ascii="Arial" w:eastAsia="Calibri" w:hAnsi="Arial" w:cs="Arial"/>
                <w:noProof/>
                <w:lang w:val="mk-MK"/>
              </w:rPr>
            </w:pPr>
            <w:r w:rsidRPr="001D50E3">
              <w:rPr>
                <w:rFonts w:ascii="Arial" w:eastAsia="Calibri" w:hAnsi="Arial" w:cs="Arial"/>
                <w:noProof/>
              </w:rPr>
              <w:t>Programi INTERREG IPA për bashkëpunim ndërkufitar ndërmjet Republikës së Bullgarisë - Republikës së Maqedonisë së Veriut 2021-2027</w:t>
            </w:r>
          </w:p>
        </w:tc>
      </w:tr>
      <w:tr w:rsidR="007002D1" w:rsidRPr="001D50E3" w:rsidTr="007002D1">
        <w:trPr>
          <w:trHeight w:val="138"/>
          <w:jc w:val="center"/>
        </w:trPr>
        <w:tc>
          <w:tcPr>
            <w:tcW w:w="3315" w:type="dxa"/>
            <w:tcBorders>
              <w:top w:val="single" w:sz="4" w:space="0" w:color="auto"/>
              <w:left w:val="single" w:sz="4" w:space="0" w:color="auto"/>
              <w:bottom w:val="single" w:sz="4" w:space="0" w:color="auto"/>
              <w:right w:val="single" w:sz="4" w:space="0" w:color="auto"/>
            </w:tcBorders>
            <w:hideMark/>
          </w:tcPr>
          <w:p w:rsidR="007002D1" w:rsidRPr="001D50E3" w:rsidRDefault="00406AAB" w:rsidP="00754C28">
            <w:pPr>
              <w:spacing w:after="0" w:line="276" w:lineRule="auto"/>
              <w:jc w:val="both"/>
              <w:rPr>
                <w:rFonts w:ascii="Arial" w:eastAsia="Calibri" w:hAnsi="Arial" w:cs="Arial"/>
                <w:b/>
                <w:noProof/>
                <w:lang w:val="mk-MK"/>
              </w:rPr>
            </w:pPr>
            <w:r w:rsidRPr="001D50E3">
              <w:rPr>
                <w:rFonts w:ascii="Arial" w:eastAsia="Calibri" w:hAnsi="Arial" w:cs="Arial"/>
                <w:b/>
                <w:noProof/>
                <w:lang w:val="mk-MK"/>
              </w:rPr>
              <w:t>Veryioni</w:t>
            </w:r>
          </w:p>
        </w:tc>
        <w:tc>
          <w:tcPr>
            <w:tcW w:w="5103" w:type="dxa"/>
            <w:tcBorders>
              <w:top w:val="single" w:sz="4" w:space="0" w:color="auto"/>
              <w:left w:val="single" w:sz="4" w:space="0" w:color="auto"/>
              <w:bottom w:val="single" w:sz="4" w:space="0" w:color="auto"/>
              <w:right w:val="single" w:sz="4" w:space="0" w:color="auto"/>
            </w:tcBorders>
            <w:hideMark/>
          </w:tcPr>
          <w:p w:rsidR="007002D1" w:rsidRPr="001D50E3" w:rsidRDefault="007002D1" w:rsidP="00754C28">
            <w:pPr>
              <w:spacing w:after="0" w:line="276" w:lineRule="auto"/>
              <w:jc w:val="both"/>
              <w:rPr>
                <w:rFonts w:ascii="Arial" w:eastAsia="Calibri" w:hAnsi="Arial" w:cs="Arial"/>
                <w:noProof/>
              </w:rPr>
            </w:pPr>
            <w:r w:rsidRPr="001D50E3">
              <w:rPr>
                <w:rFonts w:ascii="Arial" w:eastAsia="Calibri" w:hAnsi="Arial" w:cs="Arial"/>
                <w:noProof/>
              </w:rPr>
              <w:t>1.0</w:t>
            </w:r>
          </w:p>
        </w:tc>
      </w:tr>
      <w:tr w:rsidR="007002D1" w:rsidRPr="001D50E3" w:rsidTr="007002D1">
        <w:trPr>
          <w:jc w:val="center"/>
        </w:trPr>
        <w:tc>
          <w:tcPr>
            <w:tcW w:w="3315" w:type="dxa"/>
            <w:tcBorders>
              <w:top w:val="single" w:sz="4" w:space="0" w:color="auto"/>
              <w:left w:val="single" w:sz="4" w:space="0" w:color="auto"/>
              <w:bottom w:val="single" w:sz="4" w:space="0" w:color="auto"/>
              <w:right w:val="single" w:sz="4" w:space="0" w:color="auto"/>
            </w:tcBorders>
            <w:hideMark/>
          </w:tcPr>
          <w:p w:rsidR="007002D1" w:rsidRPr="001D50E3" w:rsidRDefault="00406AAB" w:rsidP="00754C28">
            <w:pPr>
              <w:spacing w:after="0" w:line="276" w:lineRule="auto"/>
              <w:jc w:val="both"/>
              <w:rPr>
                <w:rFonts w:ascii="Arial" w:eastAsia="Calibri" w:hAnsi="Arial" w:cs="Arial"/>
                <w:b/>
                <w:noProof/>
                <w:lang w:val="sq-AL"/>
              </w:rPr>
            </w:pPr>
            <w:r w:rsidRPr="001D50E3">
              <w:rPr>
                <w:rFonts w:ascii="Arial" w:eastAsia="Calibri" w:hAnsi="Arial" w:cs="Arial"/>
                <w:b/>
                <w:noProof/>
                <w:lang w:val="sq-AL"/>
              </w:rPr>
              <w:t>Viti i pare</w:t>
            </w:r>
          </w:p>
        </w:tc>
        <w:tc>
          <w:tcPr>
            <w:tcW w:w="5103" w:type="dxa"/>
            <w:tcBorders>
              <w:top w:val="single" w:sz="4" w:space="0" w:color="auto"/>
              <w:left w:val="single" w:sz="4" w:space="0" w:color="auto"/>
              <w:bottom w:val="single" w:sz="4" w:space="0" w:color="auto"/>
              <w:right w:val="single" w:sz="4" w:space="0" w:color="auto"/>
            </w:tcBorders>
            <w:hideMark/>
          </w:tcPr>
          <w:p w:rsidR="007002D1" w:rsidRPr="001D50E3" w:rsidRDefault="007002D1" w:rsidP="00754C28">
            <w:pPr>
              <w:spacing w:after="0" w:line="276" w:lineRule="auto"/>
              <w:jc w:val="both"/>
              <w:rPr>
                <w:rFonts w:ascii="Arial" w:eastAsia="Calibri" w:hAnsi="Arial" w:cs="Arial"/>
                <w:noProof/>
              </w:rPr>
            </w:pPr>
            <w:r w:rsidRPr="001D50E3">
              <w:rPr>
                <w:rFonts w:ascii="Arial" w:eastAsia="Calibri" w:hAnsi="Arial" w:cs="Arial"/>
                <w:noProof/>
              </w:rPr>
              <w:t>2021</w:t>
            </w:r>
          </w:p>
        </w:tc>
      </w:tr>
      <w:tr w:rsidR="007002D1" w:rsidRPr="001D50E3" w:rsidTr="007002D1">
        <w:trPr>
          <w:jc w:val="center"/>
        </w:trPr>
        <w:tc>
          <w:tcPr>
            <w:tcW w:w="3315" w:type="dxa"/>
            <w:tcBorders>
              <w:top w:val="single" w:sz="4" w:space="0" w:color="auto"/>
              <w:left w:val="single" w:sz="4" w:space="0" w:color="auto"/>
              <w:bottom w:val="single" w:sz="4" w:space="0" w:color="auto"/>
              <w:right w:val="single" w:sz="4" w:space="0" w:color="auto"/>
            </w:tcBorders>
            <w:hideMark/>
          </w:tcPr>
          <w:p w:rsidR="007002D1" w:rsidRPr="001D50E3" w:rsidRDefault="00406AAB" w:rsidP="00754C28">
            <w:pPr>
              <w:spacing w:after="0" w:line="276" w:lineRule="auto"/>
              <w:jc w:val="both"/>
              <w:rPr>
                <w:rFonts w:ascii="Arial" w:eastAsia="Calibri" w:hAnsi="Arial" w:cs="Arial"/>
                <w:b/>
                <w:noProof/>
                <w:lang w:val="mk-MK"/>
              </w:rPr>
            </w:pPr>
            <w:r w:rsidRPr="001D50E3">
              <w:rPr>
                <w:rFonts w:ascii="Arial" w:eastAsia="Calibri" w:hAnsi="Arial" w:cs="Arial"/>
                <w:b/>
                <w:noProof/>
                <w:lang w:val="mk-MK"/>
              </w:rPr>
              <w:t xml:space="preserve">Viti i funidt </w:t>
            </w:r>
          </w:p>
        </w:tc>
        <w:tc>
          <w:tcPr>
            <w:tcW w:w="5103" w:type="dxa"/>
            <w:tcBorders>
              <w:top w:val="single" w:sz="4" w:space="0" w:color="auto"/>
              <w:left w:val="single" w:sz="4" w:space="0" w:color="auto"/>
              <w:bottom w:val="single" w:sz="4" w:space="0" w:color="auto"/>
              <w:right w:val="single" w:sz="4" w:space="0" w:color="auto"/>
            </w:tcBorders>
            <w:hideMark/>
          </w:tcPr>
          <w:p w:rsidR="007002D1" w:rsidRPr="001D50E3" w:rsidRDefault="007002D1" w:rsidP="00754C28">
            <w:pPr>
              <w:spacing w:after="0" w:line="276" w:lineRule="auto"/>
              <w:jc w:val="both"/>
              <w:rPr>
                <w:rFonts w:ascii="Arial" w:eastAsia="Calibri" w:hAnsi="Arial" w:cs="Arial"/>
                <w:noProof/>
              </w:rPr>
            </w:pPr>
            <w:r w:rsidRPr="001D50E3">
              <w:rPr>
                <w:rFonts w:ascii="Arial" w:eastAsia="Calibri" w:hAnsi="Arial" w:cs="Arial"/>
                <w:noProof/>
              </w:rPr>
              <w:t>2027</w:t>
            </w:r>
          </w:p>
        </w:tc>
      </w:tr>
      <w:tr w:rsidR="007002D1" w:rsidRPr="001D50E3" w:rsidTr="007002D1">
        <w:trPr>
          <w:jc w:val="center"/>
        </w:trPr>
        <w:tc>
          <w:tcPr>
            <w:tcW w:w="3315" w:type="dxa"/>
            <w:tcBorders>
              <w:top w:val="single" w:sz="4" w:space="0" w:color="auto"/>
              <w:left w:val="single" w:sz="4" w:space="0" w:color="auto"/>
              <w:bottom w:val="single" w:sz="4" w:space="0" w:color="auto"/>
              <w:right w:val="single" w:sz="4" w:space="0" w:color="auto"/>
            </w:tcBorders>
            <w:hideMark/>
          </w:tcPr>
          <w:p w:rsidR="007002D1" w:rsidRPr="001D50E3" w:rsidRDefault="00406AAB" w:rsidP="00754C28">
            <w:pPr>
              <w:spacing w:after="0" w:line="276" w:lineRule="auto"/>
              <w:jc w:val="both"/>
              <w:rPr>
                <w:rFonts w:ascii="Arial" w:eastAsia="Calibri" w:hAnsi="Arial" w:cs="Arial"/>
                <w:b/>
                <w:noProof/>
                <w:lang w:val="sq-AL"/>
              </w:rPr>
            </w:pPr>
            <w:r w:rsidRPr="001D50E3">
              <w:rPr>
                <w:rFonts w:ascii="Arial" w:eastAsia="Calibri" w:hAnsi="Arial" w:cs="Arial"/>
                <w:b/>
                <w:noProof/>
                <w:lang w:val="sq-AL"/>
              </w:rPr>
              <w:t>Lejuar deri me</w:t>
            </w:r>
          </w:p>
        </w:tc>
        <w:tc>
          <w:tcPr>
            <w:tcW w:w="5103" w:type="dxa"/>
            <w:tcBorders>
              <w:top w:val="single" w:sz="4" w:space="0" w:color="auto"/>
              <w:left w:val="single" w:sz="4" w:space="0" w:color="auto"/>
              <w:bottom w:val="single" w:sz="4" w:space="0" w:color="auto"/>
              <w:right w:val="single" w:sz="4" w:space="0" w:color="auto"/>
            </w:tcBorders>
          </w:tcPr>
          <w:p w:rsidR="007002D1" w:rsidRPr="001D50E3" w:rsidRDefault="007002D1" w:rsidP="00754C28">
            <w:pPr>
              <w:spacing w:after="0" w:line="276" w:lineRule="auto"/>
              <w:jc w:val="both"/>
              <w:rPr>
                <w:rFonts w:ascii="Arial" w:eastAsia="Calibri" w:hAnsi="Arial" w:cs="Arial"/>
                <w:noProof/>
              </w:rPr>
            </w:pPr>
          </w:p>
        </w:tc>
      </w:tr>
      <w:tr w:rsidR="007002D1" w:rsidRPr="001D50E3" w:rsidTr="007002D1">
        <w:trPr>
          <w:jc w:val="center"/>
        </w:trPr>
        <w:tc>
          <w:tcPr>
            <w:tcW w:w="3315" w:type="dxa"/>
            <w:tcBorders>
              <w:top w:val="single" w:sz="4" w:space="0" w:color="auto"/>
              <w:left w:val="single" w:sz="4" w:space="0" w:color="auto"/>
              <w:bottom w:val="single" w:sz="4" w:space="0" w:color="auto"/>
              <w:right w:val="single" w:sz="4" w:space="0" w:color="auto"/>
            </w:tcBorders>
            <w:hideMark/>
          </w:tcPr>
          <w:p w:rsidR="007002D1" w:rsidRPr="001D50E3" w:rsidRDefault="00406AAB" w:rsidP="00754C28">
            <w:pPr>
              <w:spacing w:after="0" w:line="276" w:lineRule="auto"/>
              <w:jc w:val="both"/>
              <w:rPr>
                <w:rFonts w:ascii="Arial" w:eastAsia="Calibri" w:hAnsi="Arial" w:cs="Arial"/>
                <w:b/>
                <w:noProof/>
                <w:lang w:val="sq-AL"/>
              </w:rPr>
            </w:pPr>
            <w:r w:rsidRPr="001D50E3">
              <w:rPr>
                <w:rFonts w:ascii="Arial" w:eastAsia="Calibri" w:hAnsi="Arial" w:cs="Arial"/>
                <w:b/>
                <w:noProof/>
                <w:lang w:val="sq-AL"/>
              </w:rPr>
              <w:t>Lejuar deri me</w:t>
            </w:r>
          </w:p>
        </w:tc>
        <w:tc>
          <w:tcPr>
            <w:tcW w:w="5103" w:type="dxa"/>
            <w:tcBorders>
              <w:top w:val="single" w:sz="4" w:space="0" w:color="auto"/>
              <w:left w:val="single" w:sz="4" w:space="0" w:color="auto"/>
              <w:bottom w:val="single" w:sz="4" w:space="0" w:color="auto"/>
              <w:right w:val="single" w:sz="4" w:space="0" w:color="auto"/>
            </w:tcBorders>
          </w:tcPr>
          <w:p w:rsidR="007002D1" w:rsidRPr="001D50E3" w:rsidRDefault="007002D1" w:rsidP="00754C28">
            <w:pPr>
              <w:spacing w:after="0" w:line="276" w:lineRule="auto"/>
              <w:jc w:val="both"/>
              <w:rPr>
                <w:rFonts w:ascii="Arial" w:eastAsia="Calibri" w:hAnsi="Arial" w:cs="Arial"/>
                <w:noProof/>
              </w:rPr>
            </w:pPr>
          </w:p>
        </w:tc>
      </w:tr>
      <w:tr w:rsidR="007002D1" w:rsidRPr="001D50E3" w:rsidTr="007002D1">
        <w:trPr>
          <w:jc w:val="center"/>
        </w:trPr>
        <w:tc>
          <w:tcPr>
            <w:tcW w:w="3315" w:type="dxa"/>
            <w:tcBorders>
              <w:top w:val="single" w:sz="4" w:space="0" w:color="auto"/>
              <w:left w:val="single" w:sz="4" w:space="0" w:color="auto"/>
              <w:bottom w:val="single" w:sz="4" w:space="0" w:color="auto"/>
              <w:right w:val="single" w:sz="4" w:space="0" w:color="auto"/>
            </w:tcBorders>
            <w:hideMark/>
          </w:tcPr>
          <w:p w:rsidR="007002D1" w:rsidRPr="001D50E3" w:rsidRDefault="00597CB8" w:rsidP="00754C28">
            <w:pPr>
              <w:spacing w:after="0" w:line="276" w:lineRule="auto"/>
              <w:jc w:val="both"/>
              <w:rPr>
                <w:rFonts w:ascii="Arial" w:eastAsia="Calibri" w:hAnsi="Arial" w:cs="Arial"/>
                <w:b/>
                <w:noProof/>
                <w:lang w:val="mk-MK"/>
              </w:rPr>
            </w:pPr>
            <w:r w:rsidRPr="001D50E3">
              <w:rPr>
                <w:rFonts w:ascii="Arial" w:hAnsi="Arial" w:cs="Arial"/>
                <w:b/>
              </w:rPr>
              <w:t>Numri i vendimit të Komisionit</w:t>
            </w:r>
          </w:p>
        </w:tc>
        <w:tc>
          <w:tcPr>
            <w:tcW w:w="5103" w:type="dxa"/>
            <w:tcBorders>
              <w:top w:val="single" w:sz="4" w:space="0" w:color="auto"/>
              <w:left w:val="single" w:sz="4" w:space="0" w:color="auto"/>
              <w:bottom w:val="single" w:sz="4" w:space="0" w:color="auto"/>
              <w:right w:val="single" w:sz="4" w:space="0" w:color="auto"/>
            </w:tcBorders>
          </w:tcPr>
          <w:p w:rsidR="007002D1" w:rsidRPr="001D50E3" w:rsidRDefault="007002D1" w:rsidP="00754C28">
            <w:pPr>
              <w:spacing w:after="0" w:line="276" w:lineRule="auto"/>
              <w:jc w:val="both"/>
              <w:rPr>
                <w:rFonts w:ascii="Arial" w:eastAsia="Calibri" w:hAnsi="Arial" w:cs="Arial"/>
                <w:noProof/>
              </w:rPr>
            </w:pPr>
          </w:p>
        </w:tc>
      </w:tr>
      <w:tr w:rsidR="007002D1" w:rsidRPr="001D50E3" w:rsidTr="007002D1">
        <w:trPr>
          <w:jc w:val="center"/>
        </w:trPr>
        <w:tc>
          <w:tcPr>
            <w:tcW w:w="3315" w:type="dxa"/>
            <w:tcBorders>
              <w:top w:val="single" w:sz="4" w:space="0" w:color="auto"/>
              <w:left w:val="single" w:sz="4" w:space="0" w:color="auto"/>
              <w:bottom w:val="single" w:sz="4" w:space="0" w:color="auto"/>
              <w:right w:val="single" w:sz="4" w:space="0" w:color="auto"/>
            </w:tcBorders>
            <w:hideMark/>
          </w:tcPr>
          <w:p w:rsidR="007002D1" w:rsidRPr="001D50E3" w:rsidRDefault="00406AAB" w:rsidP="00754C28">
            <w:pPr>
              <w:spacing w:line="276" w:lineRule="auto"/>
              <w:jc w:val="both"/>
              <w:rPr>
                <w:rFonts w:ascii="Arial" w:hAnsi="Arial" w:cs="Arial"/>
                <w:b/>
              </w:rPr>
            </w:pPr>
            <w:r w:rsidRPr="001D50E3">
              <w:rPr>
                <w:rFonts w:ascii="Arial" w:hAnsi="Arial" w:cs="Arial"/>
                <w:b/>
              </w:rPr>
              <w:t>Numri i vendimit të Komisionit</w:t>
            </w:r>
          </w:p>
        </w:tc>
        <w:tc>
          <w:tcPr>
            <w:tcW w:w="5103" w:type="dxa"/>
            <w:tcBorders>
              <w:top w:val="single" w:sz="4" w:space="0" w:color="auto"/>
              <w:left w:val="single" w:sz="4" w:space="0" w:color="auto"/>
              <w:bottom w:val="single" w:sz="4" w:space="0" w:color="auto"/>
              <w:right w:val="single" w:sz="4" w:space="0" w:color="auto"/>
            </w:tcBorders>
          </w:tcPr>
          <w:p w:rsidR="007002D1" w:rsidRPr="001D50E3" w:rsidRDefault="007002D1" w:rsidP="00754C28">
            <w:pPr>
              <w:spacing w:after="0" w:line="276" w:lineRule="auto"/>
              <w:jc w:val="both"/>
              <w:rPr>
                <w:rFonts w:ascii="Arial" w:eastAsia="Calibri" w:hAnsi="Arial" w:cs="Arial"/>
                <w:noProof/>
              </w:rPr>
            </w:pPr>
          </w:p>
        </w:tc>
      </w:tr>
      <w:tr w:rsidR="007002D1" w:rsidRPr="001D50E3" w:rsidTr="007002D1">
        <w:trPr>
          <w:jc w:val="center"/>
        </w:trPr>
        <w:tc>
          <w:tcPr>
            <w:tcW w:w="3315" w:type="dxa"/>
            <w:tcBorders>
              <w:top w:val="single" w:sz="4" w:space="0" w:color="auto"/>
              <w:left w:val="single" w:sz="4" w:space="0" w:color="auto"/>
              <w:bottom w:val="single" w:sz="4" w:space="0" w:color="auto"/>
              <w:right w:val="single" w:sz="4" w:space="0" w:color="auto"/>
            </w:tcBorders>
            <w:hideMark/>
          </w:tcPr>
          <w:p w:rsidR="007002D1" w:rsidRPr="001D50E3" w:rsidRDefault="00406AAB" w:rsidP="00754C28">
            <w:pPr>
              <w:spacing w:line="276" w:lineRule="auto"/>
              <w:jc w:val="both"/>
              <w:rPr>
                <w:rFonts w:ascii="Arial" w:hAnsi="Arial" w:cs="Arial"/>
                <w:b/>
              </w:rPr>
            </w:pPr>
            <w:r w:rsidRPr="001D50E3">
              <w:rPr>
                <w:rFonts w:ascii="Arial" w:hAnsi="Arial" w:cs="Arial"/>
                <w:b/>
              </w:rPr>
              <w:t>Numri i vendimit për ndryshimin e Programit</w:t>
            </w:r>
          </w:p>
        </w:tc>
        <w:tc>
          <w:tcPr>
            <w:tcW w:w="5103" w:type="dxa"/>
            <w:tcBorders>
              <w:top w:val="single" w:sz="4" w:space="0" w:color="auto"/>
              <w:left w:val="single" w:sz="4" w:space="0" w:color="auto"/>
              <w:bottom w:val="single" w:sz="4" w:space="0" w:color="auto"/>
              <w:right w:val="single" w:sz="4" w:space="0" w:color="auto"/>
            </w:tcBorders>
            <w:hideMark/>
          </w:tcPr>
          <w:p w:rsidR="007002D1" w:rsidRPr="001D50E3" w:rsidRDefault="007002D1" w:rsidP="00754C28">
            <w:pPr>
              <w:spacing w:after="0" w:line="276" w:lineRule="auto"/>
              <w:jc w:val="both"/>
              <w:rPr>
                <w:rFonts w:ascii="Arial" w:eastAsia="Calibri" w:hAnsi="Arial" w:cs="Arial"/>
                <w:noProof/>
              </w:rPr>
            </w:pPr>
            <w:r w:rsidRPr="001D50E3">
              <w:rPr>
                <w:rFonts w:ascii="Arial" w:eastAsia="Calibri" w:hAnsi="Arial" w:cs="Arial"/>
                <w:noProof/>
              </w:rPr>
              <w:t>[20]</w:t>
            </w:r>
          </w:p>
        </w:tc>
      </w:tr>
      <w:tr w:rsidR="007002D1" w:rsidRPr="001D50E3" w:rsidTr="007002D1">
        <w:trPr>
          <w:jc w:val="center"/>
        </w:trPr>
        <w:tc>
          <w:tcPr>
            <w:tcW w:w="3315" w:type="dxa"/>
            <w:tcBorders>
              <w:top w:val="single" w:sz="4" w:space="0" w:color="auto"/>
              <w:left w:val="single" w:sz="4" w:space="0" w:color="auto"/>
              <w:bottom w:val="single" w:sz="4" w:space="0" w:color="auto"/>
              <w:right w:val="single" w:sz="4" w:space="0" w:color="auto"/>
            </w:tcBorders>
            <w:hideMark/>
          </w:tcPr>
          <w:p w:rsidR="007002D1" w:rsidRPr="001D50E3" w:rsidRDefault="00406AAB" w:rsidP="00754C28">
            <w:pPr>
              <w:spacing w:line="276" w:lineRule="auto"/>
              <w:jc w:val="both"/>
              <w:rPr>
                <w:rFonts w:ascii="Arial" w:hAnsi="Arial" w:cs="Arial"/>
                <w:b/>
              </w:rPr>
            </w:pPr>
            <w:r w:rsidRPr="001D50E3">
              <w:rPr>
                <w:rFonts w:ascii="Arial" w:hAnsi="Arial" w:cs="Arial"/>
                <w:b/>
              </w:rPr>
              <w:t>Data e hyrjes në fuqi të vendimit për ndryshimin e Programit</w:t>
            </w:r>
          </w:p>
        </w:tc>
        <w:tc>
          <w:tcPr>
            <w:tcW w:w="5103" w:type="dxa"/>
            <w:tcBorders>
              <w:top w:val="single" w:sz="4" w:space="0" w:color="auto"/>
              <w:left w:val="single" w:sz="4" w:space="0" w:color="auto"/>
              <w:bottom w:val="single" w:sz="4" w:space="0" w:color="auto"/>
              <w:right w:val="single" w:sz="4" w:space="0" w:color="auto"/>
            </w:tcBorders>
          </w:tcPr>
          <w:p w:rsidR="007002D1" w:rsidRPr="001D50E3" w:rsidRDefault="007002D1" w:rsidP="00754C28">
            <w:pPr>
              <w:spacing w:after="0" w:line="276" w:lineRule="auto"/>
              <w:jc w:val="both"/>
              <w:rPr>
                <w:rFonts w:ascii="Arial" w:eastAsia="Calibri" w:hAnsi="Arial" w:cs="Arial"/>
                <w:noProof/>
              </w:rPr>
            </w:pPr>
          </w:p>
        </w:tc>
      </w:tr>
      <w:tr w:rsidR="007002D1" w:rsidRPr="001D50E3" w:rsidTr="007002D1">
        <w:trPr>
          <w:jc w:val="center"/>
        </w:trPr>
        <w:tc>
          <w:tcPr>
            <w:tcW w:w="3315" w:type="dxa"/>
            <w:tcBorders>
              <w:top w:val="single" w:sz="4" w:space="0" w:color="auto"/>
              <w:left w:val="single" w:sz="4" w:space="0" w:color="auto"/>
              <w:bottom w:val="single" w:sz="4" w:space="0" w:color="auto"/>
              <w:right w:val="single" w:sz="4" w:space="0" w:color="auto"/>
            </w:tcBorders>
          </w:tcPr>
          <w:p w:rsidR="007002D1" w:rsidRPr="00754C28" w:rsidRDefault="00406AAB" w:rsidP="00754C28">
            <w:pPr>
              <w:spacing w:line="276" w:lineRule="auto"/>
              <w:jc w:val="both"/>
              <w:rPr>
                <w:rFonts w:ascii="Arial" w:hAnsi="Arial" w:cs="Arial"/>
                <w:b/>
                <w:lang w:val="mk-MK"/>
              </w:rPr>
            </w:pPr>
            <w:r w:rsidRPr="001D50E3">
              <w:rPr>
                <w:rFonts w:ascii="Arial" w:hAnsi="Arial" w:cs="Arial"/>
                <w:b/>
                <w:lang w:val="mk-MK"/>
              </w:rPr>
              <w:t>Rajonet e mbuluara nga programi sipas nomenklaturës së njësive të statistikave territoriale (NETS)</w:t>
            </w:r>
          </w:p>
        </w:tc>
        <w:tc>
          <w:tcPr>
            <w:tcW w:w="5103" w:type="dxa"/>
            <w:tcBorders>
              <w:top w:val="single" w:sz="4" w:space="0" w:color="auto"/>
              <w:left w:val="single" w:sz="4" w:space="0" w:color="auto"/>
              <w:bottom w:val="single" w:sz="4" w:space="0" w:color="auto"/>
              <w:right w:val="single" w:sz="4" w:space="0" w:color="auto"/>
            </w:tcBorders>
            <w:hideMark/>
          </w:tcPr>
          <w:p w:rsidR="00406AAB" w:rsidRPr="001D50E3" w:rsidRDefault="00406AAB" w:rsidP="00754C28">
            <w:pPr>
              <w:spacing w:line="276" w:lineRule="auto"/>
              <w:jc w:val="both"/>
              <w:rPr>
                <w:rFonts w:ascii="Arial" w:eastAsia="Calibri" w:hAnsi="Arial" w:cs="Arial"/>
                <w:noProof/>
                <w:lang w:val="mk-MK"/>
              </w:rPr>
            </w:pPr>
            <w:r w:rsidRPr="001D50E3">
              <w:rPr>
                <w:rFonts w:ascii="Arial" w:eastAsia="Calibri" w:hAnsi="Arial" w:cs="Arial"/>
                <w:noProof/>
                <w:lang w:val="mk-MK"/>
              </w:rPr>
              <w:t>Republika e Bullgarisë - 2 zona NETS të nivelit III: Blagoevgrad dhe Kyustendil</w:t>
            </w:r>
          </w:p>
          <w:p w:rsidR="007002D1" w:rsidRPr="001D50E3" w:rsidRDefault="00406AAB" w:rsidP="00754C28">
            <w:pPr>
              <w:spacing w:line="276" w:lineRule="auto"/>
              <w:jc w:val="both"/>
              <w:rPr>
                <w:rFonts w:ascii="Arial" w:eastAsia="Calibri" w:hAnsi="Arial" w:cs="Arial"/>
                <w:noProof/>
                <w:lang w:val="mk-MK"/>
              </w:rPr>
            </w:pPr>
            <w:r w:rsidRPr="001D50E3">
              <w:rPr>
                <w:rFonts w:ascii="Arial" w:eastAsia="Calibri" w:hAnsi="Arial" w:cs="Arial"/>
                <w:noProof/>
                <w:lang w:val="mk-MK"/>
              </w:rPr>
              <w:t>[Republika e Maqedonisë së Veriut] - 3 zona NETS të nivelit III: Rajoni verilindor, rajoni lindor dhe rajoni juglindor</w:t>
            </w:r>
          </w:p>
        </w:tc>
      </w:tr>
      <w:tr w:rsidR="007002D1" w:rsidRPr="001D50E3" w:rsidTr="007002D1">
        <w:trPr>
          <w:jc w:val="center"/>
        </w:trPr>
        <w:tc>
          <w:tcPr>
            <w:tcW w:w="3315" w:type="dxa"/>
            <w:tcBorders>
              <w:top w:val="single" w:sz="4" w:space="0" w:color="auto"/>
              <w:left w:val="single" w:sz="4" w:space="0" w:color="auto"/>
              <w:bottom w:val="single" w:sz="4" w:space="0" w:color="auto"/>
              <w:right w:val="single" w:sz="4" w:space="0" w:color="auto"/>
            </w:tcBorders>
            <w:hideMark/>
          </w:tcPr>
          <w:p w:rsidR="007002D1" w:rsidRPr="001D50E3" w:rsidRDefault="00AF4A28" w:rsidP="00754C28">
            <w:pPr>
              <w:spacing w:after="0" w:line="276" w:lineRule="auto"/>
              <w:jc w:val="both"/>
              <w:rPr>
                <w:rFonts w:ascii="Arial" w:eastAsia="Calibri" w:hAnsi="Arial" w:cs="Arial"/>
                <w:b/>
                <w:i/>
                <w:iCs/>
                <w:noProof/>
                <w:lang w:val="mk-MK"/>
              </w:rPr>
            </w:pPr>
            <w:r w:rsidRPr="001D50E3">
              <w:rPr>
                <w:rFonts w:ascii="Arial" w:eastAsia="Calibri" w:hAnsi="Arial" w:cs="Arial"/>
                <w:b/>
                <w:i/>
                <w:iCs/>
                <w:noProof/>
                <w:lang w:val="mk-MK"/>
              </w:rPr>
              <w:t>Drejtimi</w:t>
            </w:r>
          </w:p>
        </w:tc>
        <w:tc>
          <w:tcPr>
            <w:tcW w:w="5103" w:type="dxa"/>
            <w:tcBorders>
              <w:top w:val="single" w:sz="4" w:space="0" w:color="auto"/>
              <w:left w:val="single" w:sz="4" w:space="0" w:color="auto"/>
              <w:bottom w:val="single" w:sz="4" w:space="0" w:color="auto"/>
              <w:right w:val="single" w:sz="4" w:space="0" w:color="auto"/>
            </w:tcBorders>
          </w:tcPr>
          <w:p w:rsidR="007002D1" w:rsidRPr="001D50E3" w:rsidRDefault="007002D1" w:rsidP="00754C28">
            <w:pPr>
              <w:spacing w:after="0" w:line="276" w:lineRule="auto"/>
              <w:jc w:val="both"/>
              <w:rPr>
                <w:rFonts w:ascii="Arial" w:eastAsia="Calibri" w:hAnsi="Arial" w:cs="Arial"/>
                <w:i/>
                <w:noProof/>
              </w:rPr>
            </w:pPr>
          </w:p>
        </w:tc>
      </w:tr>
    </w:tbl>
    <w:p w:rsidR="007002D1" w:rsidRPr="001D50E3" w:rsidRDefault="007002D1" w:rsidP="00754C28">
      <w:pPr>
        <w:spacing w:before="240" w:after="240" w:line="276" w:lineRule="auto"/>
        <w:jc w:val="both"/>
        <w:rPr>
          <w:rFonts w:ascii="Arial" w:eastAsia="Times New Roman" w:hAnsi="Arial" w:cs="Arial"/>
          <w:b/>
          <w:iCs/>
          <w:noProof/>
          <w:lang w:eastAsia="en-GB"/>
        </w:rPr>
      </w:pPr>
      <w:r w:rsidRPr="001D50E3">
        <w:rPr>
          <w:rFonts w:ascii="Arial" w:eastAsia="Times New Roman" w:hAnsi="Arial" w:cs="Arial"/>
          <w:b/>
          <w:i/>
          <w:iCs/>
          <w:noProof/>
          <w:lang w:eastAsia="en-GB"/>
        </w:rPr>
        <w:t>1. Stra</w:t>
      </w:r>
      <w:r w:rsidRPr="001D50E3">
        <w:rPr>
          <w:rFonts w:ascii="Arial" w:eastAsia="Times New Roman" w:hAnsi="Arial" w:cs="Arial"/>
          <w:b/>
          <w:iCs/>
          <w:noProof/>
          <w:lang w:eastAsia="en-GB"/>
        </w:rPr>
        <w:t>tegjia e Programit të Përbashkët: Sfidat kryesore të zhvillimit dhe përgjigjet e politikave</w:t>
      </w:r>
    </w:p>
    <w:p w:rsidR="007002D1" w:rsidRPr="001D50E3" w:rsidRDefault="007002D1" w:rsidP="00754C28">
      <w:pPr>
        <w:spacing w:before="240" w:after="240" w:line="276" w:lineRule="auto"/>
        <w:jc w:val="both"/>
        <w:rPr>
          <w:rFonts w:ascii="Arial" w:eastAsia="Times New Roman" w:hAnsi="Arial" w:cs="Arial"/>
          <w:b/>
          <w:iCs/>
          <w:noProof/>
          <w:lang w:eastAsia="en-GB"/>
        </w:rPr>
      </w:pPr>
      <w:r w:rsidRPr="001D50E3">
        <w:rPr>
          <w:rFonts w:ascii="Arial" w:eastAsia="Times New Roman" w:hAnsi="Arial" w:cs="Arial"/>
          <w:b/>
          <w:iCs/>
          <w:noProof/>
          <w:lang w:eastAsia="en-GB"/>
        </w:rPr>
        <w:t>1.1. Zona e programit (nuk kërkohet për programet INTERREG C)</w:t>
      </w:r>
    </w:p>
    <w:p w:rsidR="007002D1" w:rsidRPr="001D50E3" w:rsidRDefault="007002D1" w:rsidP="00754C28">
      <w:pPr>
        <w:spacing w:before="240" w:after="240" w:line="276" w:lineRule="auto"/>
        <w:jc w:val="both"/>
        <w:rPr>
          <w:rFonts w:ascii="Arial" w:eastAsia="Times New Roman" w:hAnsi="Arial" w:cs="Arial"/>
          <w:b/>
          <w:iCs/>
          <w:noProof/>
          <w:lang w:eastAsia="en-GB"/>
        </w:rPr>
      </w:pPr>
      <w:r w:rsidRPr="001D50E3">
        <w:rPr>
          <w:rFonts w:ascii="Arial" w:eastAsia="Times New Roman" w:hAnsi="Arial" w:cs="Arial"/>
          <w:b/>
          <w:iCs/>
          <w:noProof/>
          <w:lang w:eastAsia="en-GB"/>
        </w:rPr>
        <w:t>Referenca: Neni 17 (3) (a), Neni 17 (9) (a)</w:t>
      </w:r>
    </w:p>
    <w:p w:rsidR="007002D1" w:rsidRPr="001D50E3" w:rsidRDefault="007002D1" w:rsidP="00754C28">
      <w:pPr>
        <w:pBdr>
          <w:top w:val="single" w:sz="4" w:space="1" w:color="auto"/>
          <w:left w:val="single" w:sz="4" w:space="4" w:color="auto"/>
          <w:bottom w:val="single" w:sz="4" w:space="1" w:color="auto"/>
          <w:right w:val="single" w:sz="4" w:space="4" w:color="auto"/>
        </w:pBdr>
        <w:spacing w:line="276" w:lineRule="auto"/>
        <w:jc w:val="both"/>
        <w:rPr>
          <w:rFonts w:ascii="Arial" w:hAnsi="Arial" w:cs="Arial"/>
        </w:rPr>
      </w:pPr>
      <w:r w:rsidRPr="001D50E3">
        <w:rPr>
          <w:rFonts w:ascii="Arial" w:hAnsi="Arial" w:cs="Arial"/>
        </w:rPr>
        <w:t>Zona e programit Republika e Bullgarisë - Republika e Maqedonisë së Veriut ndodhet në Evropën Juglindore dhe mbulon 5 zona NETS të njësive territoriale të nivelit III (ose ekuivalent), përkatësisht: 2 zona në anën bullgare - Blagoevgrad dhe Kyustendil dhe 3 rajone në anën e [Republika e Maqedonisë së Veriut] - Verilindore, Lindore dhe Juglindore.</w:t>
      </w:r>
    </w:p>
    <w:p w:rsidR="007002D1" w:rsidRPr="001D50E3" w:rsidRDefault="007002D1" w:rsidP="00754C28">
      <w:pPr>
        <w:pBdr>
          <w:top w:val="single" w:sz="4" w:space="1" w:color="auto"/>
          <w:left w:val="single" w:sz="4" w:space="4" w:color="auto"/>
          <w:bottom w:val="single" w:sz="4" w:space="1" w:color="auto"/>
          <w:right w:val="single" w:sz="4" w:space="4" w:color="auto"/>
        </w:pBdr>
        <w:spacing w:line="276" w:lineRule="auto"/>
        <w:jc w:val="both"/>
        <w:rPr>
          <w:rFonts w:ascii="Arial" w:hAnsi="Arial" w:cs="Arial"/>
        </w:rPr>
      </w:pPr>
      <w:r w:rsidRPr="001D50E3">
        <w:rPr>
          <w:rFonts w:ascii="Arial" w:hAnsi="Arial" w:cs="Arial"/>
        </w:rPr>
        <w:t>Kufiri është i gjatë 165 km me tre pika kufitare operative (Zllatarevë-Novo Sellë, Stanke Lisiçkovë-Delçevë dhe Gjushevë-Deve Bair). Sipërfaqja e përgjithshme e zonës për bashkëpunim ndërkufitar (CBC) mbulon 18 087 km2 - që përfaqëson 8.6% të territorit të vendit në Republikën e Bullgarisë, ndërsa në Republikën e Maqedonisë së Veriut përfaqëson 33.8%.</w:t>
      </w:r>
    </w:p>
    <w:p w:rsidR="007002D1" w:rsidRPr="001D50E3" w:rsidRDefault="007002D1" w:rsidP="00754C28">
      <w:pPr>
        <w:pBdr>
          <w:top w:val="single" w:sz="4" w:space="1" w:color="auto"/>
          <w:left w:val="single" w:sz="4" w:space="4" w:color="auto"/>
          <w:bottom w:val="single" w:sz="4" w:space="1" w:color="auto"/>
          <w:right w:val="single" w:sz="4" w:space="4" w:color="auto"/>
        </w:pBdr>
        <w:spacing w:line="276" w:lineRule="auto"/>
        <w:jc w:val="both"/>
        <w:rPr>
          <w:rFonts w:ascii="Arial" w:hAnsi="Arial" w:cs="Arial"/>
        </w:rPr>
      </w:pPr>
      <w:r w:rsidRPr="001D50E3">
        <w:rPr>
          <w:rFonts w:ascii="Arial" w:hAnsi="Arial" w:cs="Arial"/>
        </w:rPr>
        <w:lastRenderedPageBreak/>
        <w:t>Popullsia në zonën e PBS është 948 564 banorë. Popullsia e pjesës së Republikës së Bullgarisë është 424 164 banorë (6,06% e popullsisë së vendit), ndërsa në pjesën e Republikës së Maqedonisë së Veriut është 524 400 banorë (25,26% e popullsisë së vendit). .</w:t>
      </w:r>
    </w:p>
    <w:p w:rsidR="007E59B5" w:rsidRPr="001D50E3" w:rsidRDefault="007002D1" w:rsidP="00754C28">
      <w:pPr>
        <w:pBdr>
          <w:top w:val="single" w:sz="4" w:space="1" w:color="auto"/>
          <w:left w:val="single" w:sz="4" w:space="4" w:color="auto"/>
          <w:bottom w:val="single" w:sz="4" w:space="1" w:color="auto"/>
          <w:right w:val="single" w:sz="4" w:space="4" w:color="auto"/>
        </w:pBdr>
        <w:spacing w:line="276" w:lineRule="auto"/>
        <w:jc w:val="both"/>
        <w:rPr>
          <w:rFonts w:ascii="Arial" w:hAnsi="Arial" w:cs="Arial"/>
        </w:rPr>
      </w:pPr>
      <w:r w:rsidRPr="001D50E3">
        <w:rPr>
          <w:rFonts w:ascii="Arial" w:hAnsi="Arial" w:cs="Arial"/>
        </w:rPr>
        <w:t>Struktura e zonës karakterizohet nga prania e 5 qyteteve të mesme të mëdha: Blagoevgrad dhe Kyustendil në anën bullgare dhe Kumanovë, Shtip dhe Strumicë në anën e Republikës së Maqedonisë Veriore.</w:t>
      </w:r>
    </w:p>
    <w:p w:rsidR="000E010F" w:rsidRPr="001D50E3" w:rsidRDefault="000E010F" w:rsidP="00754C28">
      <w:pPr>
        <w:pBdr>
          <w:top w:val="single" w:sz="4" w:space="1" w:color="auto"/>
          <w:left w:val="single" w:sz="4" w:space="4" w:color="auto"/>
          <w:bottom w:val="single" w:sz="4" w:space="1" w:color="auto"/>
          <w:right w:val="single" w:sz="4" w:space="4" w:color="auto"/>
        </w:pBdr>
        <w:spacing w:line="276" w:lineRule="auto"/>
        <w:jc w:val="both"/>
        <w:rPr>
          <w:rFonts w:ascii="Arial" w:hAnsi="Arial" w:cs="Arial"/>
        </w:rPr>
      </w:pPr>
      <w:r w:rsidRPr="001D50E3">
        <w:rPr>
          <w:rFonts w:ascii="Arial" w:hAnsi="Arial" w:cs="Arial"/>
        </w:rPr>
        <w:t>Më shumë se gjysma e zonës së programit është malore me pyje që mbulojnë mbi 40% të territorit. Struktura gjeografike e zonës së programit përfshin lugina të shumta me zona bujqësore, të cilat mbështesin zhvillimin e turizmit, bujqësisë dhe industrisë ushqimore.</w:t>
      </w:r>
    </w:p>
    <w:p w:rsidR="000E010F" w:rsidRPr="001D50E3" w:rsidRDefault="000E010F" w:rsidP="00754C28">
      <w:pPr>
        <w:pBdr>
          <w:top w:val="single" w:sz="4" w:space="1" w:color="auto"/>
          <w:left w:val="single" w:sz="4" w:space="4" w:color="auto"/>
          <w:bottom w:val="single" w:sz="4" w:space="1" w:color="auto"/>
          <w:right w:val="single" w:sz="4" w:space="4" w:color="auto"/>
        </w:pBdr>
        <w:spacing w:line="276" w:lineRule="auto"/>
        <w:jc w:val="both"/>
        <w:rPr>
          <w:rFonts w:ascii="Arial" w:hAnsi="Arial" w:cs="Arial"/>
        </w:rPr>
      </w:pPr>
      <w:r w:rsidRPr="001D50E3">
        <w:rPr>
          <w:rFonts w:ascii="Arial" w:hAnsi="Arial" w:cs="Arial"/>
        </w:rPr>
        <w:t>Zona e programit është e pasur me resurse ujore: lumenjtë më të mëdhenj prej të cilëve janë Struma, Mesta, Bregalnica, Strumicë, Pçinja, Kriva Reka; liqenet, pjesë e liqenit të Dojranit, Vodo ,a, Mantovë, Kalimanci, Liqeni i Berovës, Gratçee, Pishica, Kneжеevo dhe shumë liqene të tjera më të vogla në tre rajonet kufitare në Republikën e Maqedonisë Veriore; liqene të shumta në malet Rila dhe Pirin, më të njohurit prej të cilëve janë Shtatë Liqenet e Rilës); ujërat nëntokësore (burimet dhe ujërat termale).</w:t>
      </w:r>
    </w:p>
    <w:p w:rsidR="000E010F" w:rsidRPr="001D50E3" w:rsidRDefault="000E010F" w:rsidP="00754C28">
      <w:pPr>
        <w:pBdr>
          <w:top w:val="single" w:sz="4" w:space="1" w:color="auto"/>
          <w:left w:val="single" w:sz="4" w:space="4" w:color="auto"/>
          <w:bottom w:val="single" w:sz="4" w:space="1" w:color="auto"/>
          <w:right w:val="single" w:sz="4" w:space="4" w:color="auto"/>
        </w:pBdr>
        <w:spacing w:line="276" w:lineRule="auto"/>
        <w:jc w:val="both"/>
        <w:rPr>
          <w:rFonts w:ascii="Arial" w:hAnsi="Arial" w:cs="Arial"/>
        </w:rPr>
      </w:pPr>
      <w:r w:rsidRPr="001D50E3">
        <w:rPr>
          <w:rFonts w:ascii="Arial" w:hAnsi="Arial" w:cs="Arial"/>
        </w:rPr>
        <w:t>Klima është e larmishme, nga klima e butë-kontinentale, tranzicionale-kontinentale dhe malore në mesdhetare përgjatë luginave të lumenjve dhe liqenit të Dojranit. Rajoni ndërkufitar nga të dyja anët vlerësohet si i pasur me trashëgimi kulturore dhe natyrore dhe një nivel të lartë të ndjeshmërisë mjedisore ndaj ndryshimeve klimatike.</w:t>
      </w:r>
    </w:p>
    <w:p w:rsidR="000E010F" w:rsidRPr="001D50E3" w:rsidRDefault="000E010F" w:rsidP="00754C28">
      <w:pPr>
        <w:pBdr>
          <w:top w:val="single" w:sz="4" w:space="1" w:color="auto"/>
          <w:left w:val="single" w:sz="4" w:space="4" w:color="auto"/>
          <w:bottom w:val="single" w:sz="4" w:space="1" w:color="auto"/>
          <w:right w:val="single" w:sz="4" w:space="4" w:color="auto"/>
        </w:pBdr>
        <w:spacing w:line="276" w:lineRule="auto"/>
        <w:jc w:val="both"/>
        <w:rPr>
          <w:rFonts w:ascii="Arial" w:hAnsi="Arial" w:cs="Arial"/>
        </w:rPr>
      </w:pPr>
    </w:p>
    <w:p w:rsidR="000E010F" w:rsidRPr="001D50E3" w:rsidRDefault="000E010F" w:rsidP="00754C28">
      <w:pPr>
        <w:pBdr>
          <w:top w:val="single" w:sz="4" w:space="1" w:color="auto"/>
          <w:left w:val="single" w:sz="4" w:space="4" w:color="auto"/>
          <w:bottom w:val="single" w:sz="4" w:space="1" w:color="auto"/>
          <w:right w:val="single" w:sz="4" w:space="4" w:color="auto"/>
        </w:pBdr>
        <w:spacing w:line="276" w:lineRule="auto"/>
        <w:jc w:val="both"/>
        <w:rPr>
          <w:rFonts w:ascii="Arial" w:hAnsi="Arial" w:cs="Arial"/>
        </w:rPr>
      </w:pPr>
      <w:r w:rsidRPr="001D50E3">
        <w:rPr>
          <w:rFonts w:ascii="Arial" w:hAnsi="Arial" w:cs="Arial"/>
        </w:rPr>
        <w:t>1.2 Strategjia e programit të përbashkët: një përmbledhje e sfidave kryesore të përbashkëta, duke marrë parasysh dallimet ekonomike, sociale dhe territoriale, si dhe pabarazinë, nevojat për investime të përbashkëta dhe komplementaritetin dhe sinergjitë me programet dhe instrumentet e tjera financimi, mësimet e nxjerra nga përvoja e kaluar dhe makro- strategjitë rajonale dhe të baseneve detare ku zona e programit në tërësi ose pjesërisht mbulohet nga një ose më shumë strategji.</w:t>
      </w:r>
    </w:p>
    <w:p w:rsidR="000E010F" w:rsidRPr="001D50E3" w:rsidRDefault="000E010F" w:rsidP="00754C28">
      <w:pPr>
        <w:pBdr>
          <w:top w:val="single" w:sz="4" w:space="1" w:color="auto"/>
          <w:left w:val="single" w:sz="4" w:space="4" w:color="auto"/>
          <w:bottom w:val="single" w:sz="4" w:space="1" w:color="auto"/>
          <w:right w:val="single" w:sz="4" w:space="4" w:color="auto"/>
        </w:pBdr>
        <w:spacing w:line="276" w:lineRule="auto"/>
        <w:jc w:val="both"/>
        <w:rPr>
          <w:rFonts w:ascii="Arial" w:hAnsi="Arial" w:cs="Arial"/>
        </w:rPr>
      </w:pPr>
      <w:r w:rsidRPr="001D50E3">
        <w:rPr>
          <w:rFonts w:ascii="Arial" w:hAnsi="Arial" w:cs="Arial"/>
        </w:rPr>
        <w:t>¹ Narrativa e mëposhtme është e strukturuar në një mënyrë për të ofruar një përmbledhje të bazuar në prova të sfidave më të fundit socio-ekonomike, dështimet e zhvillimit dhe nxitësit ekonomikë në fushën e PGJS-së, në mënyrë që të përcaktojë një strategji bashkëpunimi programatik për periudhën e ardhshme programore. Megjithatë, përmbledhja përballet me kufizime të të dhënave për shkak të mungesës së të dhënave të krahasueshme dhe ekuivalente nga zonat e Nivelit III të NETS në të dy vendet. Kufizimet kohore dhe burimet e të dhënave zbulojnë një shqetësim tjetër metodologjik. Ndodh shpesh kur treguesit e rëndësishëm nuk janë të pranishëm në mënyrë të barabartë në të dy territoret. Kur ndodh i gjithë ky kufizim, në vend të kësaj përdoren të dhënat nga shkalla e sipërme hapësinore (NETS 2-1, niveli i kombit), i cili merr parasysh krahasueshmërinë (përsa i përket burimeve, matjes dhe afateve kohore), reciprocitetin dhe rëndësinë në kontekstin e CBC për të kapur më mirë dimensionin territorial të politikave sektoriale në të gjitha nivelet e qeverisjes, nevoja për të cilën theksohet në Axhendën Territoriale 2030. Narrativa është ndërtuar mbi të dhënat e vitit 2020 dhe kur kjo nuk është e mundur, përdoren të dhënat më të fundit të disponueshme.</w:t>
      </w:r>
    </w:p>
    <w:p w:rsidR="000E010F" w:rsidRPr="001D50E3" w:rsidRDefault="000E010F" w:rsidP="00754C28">
      <w:pPr>
        <w:pBdr>
          <w:top w:val="single" w:sz="4" w:space="1" w:color="auto"/>
          <w:left w:val="single" w:sz="4" w:space="4" w:color="auto"/>
          <w:bottom w:val="single" w:sz="4" w:space="1" w:color="auto"/>
          <w:right w:val="single" w:sz="4" w:space="4" w:color="auto"/>
        </w:pBdr>
        <w:spacing w:line="276" w:lineRule="auto"/>
        <w:jc w:val="both"/>
        <w:rPr>
          <w:rFonts w:ascii="Arial" w:hAnsi="Arial" w:cs="Arial"/>
        </w:rPr>
      </w:pPr>
      <w:r w:rsidRPr="001D50E3">
        <w:rPr>
          <w:rFonts w:ascii="Arial" w:hAnsi="Arial" w:cs="Arial"/>
        </w:rPr>
        <w:t>Referenca: Neni 17 (3) (a), Neni 17 (9) (a)</w:t>
      </w:r>
    </w:p>
    <w:p w:rsidR="000E010F" w:rsidRPr="00754C28" w:rsidRDefault="000E010F" w:rsidP="00754C28">
      <w:pPr>
        <w:pBdr>
          <w:top w:val="single" w:sz="4" w:space="1" w:color="auto"/>
          <w:left w:val="single" w:sz="4" w:space="4" w:color="auto"/>
          <w:bottom w:val="single" w:sz="4" w:space="1" w:color="auto"/>
          <w:right w:val="single" w:sz="4" w:space="4" w:color="auto"/>
        </w:pBdr>
        <w:spacing w:line="276" w:lineRule="auto"/>
        <w:jc w:val="both"/>
        <w:rPr>
          <w:rFonts w:ascii="Arial" w:hAnsi="Arial" w:cs="Arial"/>
          <w:lang w:val="mk-MK"/>
        </w:rPr>
      </w:pPr>
      <w:r w:rsidRPr="001D50E3">
        <w:rPr>
          <w:rFonts w:ascii="Arial" w:hAnsi="Arial" w:cs="Arial"/>
        </w:rPr>
        <w:lastRenderedPageBreak/>
        <w:t>1. SHPËRNDARJET EKONOMIKE, SOCIALE DHE TERRITORIALE</w:t>
      </w:r>
    </w:p>
    <w:p w:rsidR="000E010F" w:rsidRPr="001D50E3" w:rsidRDefault="000E010F" w:rsidP="00754C28">
      <w:pPr>
        <w:pBdr>
          <w:top w:val="single" w:sz="4" w:space="1" w:color="auto"/>
          <w:left w:val="single" w:sz="4" w:space="4" w:color="auto"/>
          <w:bottom w:val="single" w:sz="4" w:space="1" w:color="auto"/>
          <w:right w:val="single" w:sz="4" w:space="4" w:color="auto"/>
        </w:pBdr>
        <w:spacing w:line="276" w:lineRule="auto"/>
        <w:jc w:val="both"/>
        <w:rPr>
          <w:rFonts w:ascii="Arial" w:hAnsi="Arial" w:cs="Arial"/>
        </w:rPr>
      </w:pPr>
      <w:r w:rsidRPr="001D50E3">
        <w:rPr>
          <w:rFonts w:ascii="Arial" w:hAnsi="Arial" w:cs="Arial"/>
        </w:rPr>
        <w:t>Faktorët shumëpalësh përplasen dhe formojnë kontekstin specifik të bashkëpunimit ndërkufitar në kufijtë e jashtëm të BE-së. Është e pamundur të errësohen linjat ndarëse të kufijve të jashtëm të BE-së, veçoritë e të cilave mund të ndiqen në çdo fushë politike dhe në çdo strukturë institucionale. Një faktor i tillë është ndikimi negativ i qëndrueshëm i ndarjes së rrënjosur historikisht të dy vendeve fqinje në fushën e bashkëpunimit ndërkufitar, i cili vazhdon të tejkalojë prosperitetin e rajonit.</w:t>
      </w:r>
    </w:p>
    <w:p w:rsidR="000E010F" w:rsidRPr="001D50E3" w:rsidRDefault="000E010F" w:rsidP="00754C28">
      <w:pPr>
        <w:pBdr>
          <w:top w:val="single" w:sz="4" w:space="1" w:color="auto"/>
          <w:left w:val="single" w:sz="4" w:space="4" w:color="auto"/>
          <w:bottom w:val="single" w:sz="4" w:space="1" w:color="auto"/>
          <w:right w:val="single" w:sz="4" w:space="4" w:color="auto"/>
        </w:pBdr>
        <w:spacing w:line="276" w:lineRule="auto"/>
        <w:jc w:val="both"/>
        <w:rPr>
          <w:rFonts w:ascii="Arial" w:hAnsi="Arial" w:cs="Arial"/>
        </w:rPr>
      </w:pPr>
      <w:r w:rsidRPr="001D50E3">
        <w:rPr>
          <w:rFonts w:ascii="Arial" w:hAnsi="Arial" w:cs="Arial"/>
        </w:rPr>
        <w:t>Një faktor tjetër janë strukturat e ndryshme të qeverisjes institucionale në të dy vendet, të cilat shpesh rrezikojnë përpjekjet për veprime dhe zgjidhje të përbashkëta dhe të integruara. Zbatimi i njëkohshëm i politikave të zgjerimit dhe kohezionit të BE-së shpesh bie në konflikt ndërsa ato ndjekin qëllimet e tyre individuale. Të gjitha këto janë vetëm disa nga parakushtet që përcaktojnë fokuse dhe qasje të ndryshme strategjike për zbatimin në programet Interreg për kufijtë e jashtëm dhe të brendshëm.</w:t>
      </w:r>
    </w:p>
    <w:p w:rsidR="000E010F" w:rsidRPr="001D50E3" w:rsidRDefault="000E010F" w:rsidP="00754C28">
      <w:pPr>
        <w:pBdr>
          <w:top w:val="single" w:sz="4" w:space="1" w:color="auto"/>
          <w:left w:val="single" w:sz="4" w:space="4" w:color="auto"/>
          <w:bottom w:val="single" w:sz="4" w:space="1" w:color="auto"/>
          <w:right w:val="single" w:sz="4" w:space="4" w:color="auto"/>
        </w:pBdr>
        <w:spacing w:line="276" w:lineRule="auto"/>
        <w:jc w:val="both"/>
        <w:rPr>
          <w:rFonts w:ascii="Arial" w:hAnsi="Arial" w:cs="Arial"/>
        </w:rPr>
      </w:pPr>
      <w:r w:rsidRPr="001D50E3">
        <w:rPr>
          <w:rFonts w:ascii="Arial" w:hAnsi="Arial" w:cs="Arial"/>
        </w:rPr>
        <w:t>Ndërsa shumica e programeve të brendshme të BE-së ofrojnë mbështetje për zgjidhjet e sfidave globale, territoret e IPA CPS ende përballen me nevojën për të arritur zhvillimin e tyre socio-ekonomik. Prandaj, sfida kryesore e përbashkët e rajonit për PGJS-në për 2021-2027 është të largohet nga grupi i rajoneve të prapambetura dhe të marrë një kurs më të avancuar zhvillimi, duke u përballur ende me rrezikun e vazhdueshëm të varfërisë dhe pabarazisë së të ardhurave të nxitura nga ndryshimet negative demografike, rajoni i pazhvilluar. zinxhiri i vlerës dhe sipërmarrja në CBC, specializim i ulët teknologjik, mjedis biznesi jo tërheqës dhe jo konkurrues. Kur këto goditje ekonomike ndodhin në një kontekst të dobët institucional ndërkufitar dhe në mungesë të praktikave pa karbon, perspektivat për kohezionin territorial</w:t>
      </w:r>
    </w:p>
    <w:p w:rsidR="000E010F" w:rsidRPr="001D50E3" w:rsidRDefault="000E010F" w:rsidP="00754C28">
      <w:pPr>
        <w:pBdr>
          <w:top w:val="single" w:sz="4" w:space="1" w:color="auto"/>
          <w:left w:val="single" w:sz="4" w:space="4" w:color="auto"/>
          <w:bottom w:val="single" w:sz="4" w:space="1" w:color="auto"/>
          <w:right w:val="single" w:sz="4" w:space="4" w:color="auto"/>
        </w:pBdr>
        <w:spacing w:line="276" w:lineRule="auto"/>
        <w:jc w:val="both"/>
        <w:rPr>
          <w:rFonts w:ascii="Arial" w:hAnsi="Arial" w:cs="Arial"/>
        </w:rPr>
      </w:pPr>
      <w:r w:rsidRPr="001D50E3">
        <w:rPr>
          <w:rFonts w:ascii="Arial" w:hAnsi="Arial" w:cs="Arial"/>
        </w:rPr>
        <w:t>në përputhje me objektivat e BE-së (Axhenda Territoriale 2030; Marrëveshja e Gjelbër) sfidohen më tej.</w:t>
      </w:r>
    </w:p>
    <w:p w:rsidR="000E010F" w:rsidRPr="001D50E3" w:rsidRDefault="000E010F" w:rsidP="00754C28">
      <w:pPr>
        <w:pBdr>
          <w:top w:val="single" w:sz="4" w:space="1" w:color="auto"/>
          <w:left w:val="single" w:sz="4" w:space="4" w:color="auto"/>
          <w:bottom w:val="single" w:sz="4" w:space="1" w:color="auto"/>
          <w:right w:val="single" w:sz="4" w:space="4" w:color="auto"/>
        </w:pBdr>
        <w:spacing w:line="276" w:lineRule="auto"/>
        <w:jc w:val="both"/>
        <w:rPr>
          <w:rFonts w:ascii="Arial" w:hAnsi="Arial" w:cs="Arial"/>
        </w:rPr>
      </w:pPr>
      <w:r w:rsidRPr="001D50E3">
        <w:rPr>
          <w:rFonts w:ascii="Arial" w:hAnsi="Arial" w:cs="Arial"/>
        </w:rPr>
        <w:t>Analiza territoriale e kryer për qëllimet e programit dhe versioni i përditësuar i tij mundëson strukturimin e gjetjeve kryesore në grupet e mëposhtme të fushave të politikave, parë nga këndvështrimi i pengesave dhe forcave shtytëse për zhvillim.</w:t>
      </w:r>
    </w:p>
    <w:p w:rsidR="000E010F" w:rsidRPr="001D50E3" w:rsidRDefault="000E010F" w:rsidP="00754C28">
      <w:pPr>
        <w:pBdr>
          <w:top w:val="single" w:sz="4" w:space="1" w:color="auto"/>
          <w:left w:val="single" w:sz="4" w:space="4" w:color="auto"/>
          <w:bottom w:val="single" w:sz="4" w:space="1" w:color="auto"/>
          <w:right w:val="single" w:sz="4" w:space="4" w:color="auto"/>
        </w:pBdr>
        <w:spacing w:line="276" w:lineRule="auto"/>
        <w:jc w:val="both"/>
        <w:rPr>
          <w:rFonts w:ascii="Arial" w:hAnsi="Arial" w:cs="Arial"/>
        </w:rPr>
      </w:pPr>
      <w:r w:rsidRPr="001D50E3">
        <w:rPr>
          <w:rFonts w:ascii="Arial" w:hAnsi="Arial" w:cs="Arial"/>
        </w:rPr>
        <w:t>1.1. Ndryshim demografik negativ</w:t>
      </w:r>
    </w:p>
    <w:p w:rsidR="000E010F" w:rsidRPr="001D50E3" w:rsidRDefault="000E010F" w:rsidP="00754C28">
      <w:pPr>
        <w:pBdr>
          <w:top w:val="single" w:sz="4" w:space="1" w:color="auto"/>
          <w:left w:val="single" w:sz="4" w:space="4" w:color="auto"/>
          <w:bottom w:val="single" w:sz="4" w:space="1" w:color="auto"/>
          <w:right w:val="single" w:sz="4" w:space="4" w:color="auto"/>
        </w:pBdr>
        <w:spacing w:line="276" w:lineRule="auto"/>
        <w:jc w:val="both"/>
        <w:rPr>
          <w:rFonts w:ascii="Arial" w:hAnsi="Arial" w:cs="Arial"/>
        </w:rPr>
      </w:pPr>
      <w:r w:rsidRPr="001D50E3">
        <w:rPr>
          <w:rFonts w:ascii="Arial" w:hAnsi="Arial" w:cs="Arial"/>
        </w:rPr>
        <w:t>Zona e programit është e populluar pak me një dendësi popullsie nën mesataren kombëtare të vendit përkatës për faktin se gjysma e territorit është malor me pyje që zënë mbi 40% të sipërfaqes së saj. Dendësia mesatare e popullsisë në rajonin për bashkëpunim të Republikës së Bullgarisë është më e ulët se ajo kombëtare (63.0 njerëz/km) dhe ndryshon ndjeshëm midis zonave urbane dhe rurale. Qarku Kyustendil ka densitetin më të ulët të popullsisë në të gjithë rajonin CBC. Dendësia e popullsisë në rajonin për bashkëpunim në Republikën e Maqedonisë Veriore] tregon se ajo sërish mbetet nën mesataren kombëtare (80,8 persona/km). Rajoni Statistikor Verilindor ka dendësinë më të lartë të popullsisë në të gjithë rajonin CBC (76.3 njerëz / km3), që është afër mesatares kombëtare. Kështu, dendësia mesatare e popullsisë në të gjithë rajonin CBC është larg mesatares së BE-28 prej 117.7 njerëz / km².</w:t>
      </w:r>
    </w:p>
    <w:p w:rsidR="000E010F" w:rsidRPr="001D50E3" w:rsidRDefault="000E010F" w:rsidP="00754C28">
      <w:pPr>
        <w:pBdr>
          <w:top w:val="single" w:sz="4" w:space="1" w:color="auto"/>
          <w:left w:val="single" w:sz="4" w:space="4" w:color="auto"/>
          <w:bottom w:val="single" w:sz="4" w:space="1" w:color="auto"/>
          <w:right w:val="single" w:sz="4" w:space="4" w:color="auto"/>
        </w:pBdr>
        <w:spacing w:line="276" w:lineRule="auto"/>
        <w:jc w:val="both"/>
        <w:rPr>
          <w:rFonts w:ascii="Arial" w:hAnsi="Arial" w:cs="Arial"/>
        </w:rPr>
      </w:pPr>
      <w:r w:rsidRPr="001D50E3">
        <w:rPr>
          <w:rFonts w:ascii="Arial" w:hAnsi="Arial" w:cs="Arial"/>
        </w:rPr>
        <w:t>Në përgjithësi, zona RAC karakterizohet nga ndryshim negativ natyror i popullsisë (të dy vendet kanë parë rënie të popullsisë prej më shumë se 5% në një dekadë), migrim negativ neto dhe një përqindje të lartë të popullsisë së moshës 65 vjeç e lart (krahasuar me mesataren e BE-së) .</w:t>
      </w:r>
    </w:p>
    <w:p w:rsidR="000E010F" w:rsidRPr="001D50E3" w:rsidRDefault="000E010F" w:rsidP="00754C28">
      <w:pPr>
        <w:pBdr>
          <w:top w:val="single" w:sz="4" w:space="1" w:color="auto"/>
          <w:left w:val="single" w:sz="4" w:space="4" w:color="auto"/>
          <w:bottom w:val="single" w:sz="4" w:space="1" w:color="auto"/>
          <w:right w:val="single" w:sz="4" w:space="4" w:color="auto"/>
        </w:pBdr>
        <w:spacing w:line="276" w:lineRule="auto"/>
        <w:jc w:val="both"/>
        <w:rPr>
          <w:rFonts w:ascii="Arial" w:hAnsi="Arial" w:cs="Arial"/>
        </w:rPr>
      </w:pPr>
      <w:r w:rsidRPr="001D50E3">
        <w:rPr>
          <w:rFonts w:ascii="Arial" w:hAnsi="Arial" w:cs="Arial"/>
        </w:rPr>
        <w:lastRenderedPageBreak/>
        <w:t>Të dhënat demografike të zonës së programit nuk ndryshojnë ndjeshëm nga territoret e tjera identike të BE-së, por ndryshe nga ato, zonës CBC i mungojnë stimujt dhe masat për të luftuar implikimet e pafavorshme të ndryshimit demografik negativ. Perspektivat tërheqëse për punë, duke përfshirë masat e ekonomisë së argjendtë, shërbimet më cilësore të interesit të përgjithshëm dhe lidhjet më të mira mund të përgjysmojnë kufizimet e imigracionit, si dhe të rrisin numrin e lindjeve dhe të gjenerojnë të ardhura më të larta rajonale. Siç tregon shembulli në pjesën tjetër, nivelet e ulëta të të ardhurave dhe pabarazitë vazhdojnë të pengojnë zhvillimin ekonomik në zonën e CAP.</w:t>
      </w:r>
    </w:p>
    <w:p w:rsidR="000E010F" w:rsidRPr="001D50E3" w:rsidRDefault="000E010F" w:rsidP="00754C28">
      <w:pPr>
        <w:pBdr>
          <w:top w:val="single" w:sz="4" w:space="1" w:color="auto"/>
          <w:left w:val="single" w:sz="4" w:space="4" w:color="auto"/>
          <w:bottom w:val="single" w:sz="4" w:space="1" w:color="auto"/>
          <w:right w:val="single" w:sz="4" w:space="4" w:color="auto"/>
        </w:pBdr>
        <w:spacing w:line="276" w:lineRule="auto"/>
        <w:jc w:val="both"/>
        <w:rPr>
          <w:rFonts w:ascii="Arial" w:hAnsi="Arial" w:cs="Arial"/>
        </w:rPr>
      </w:pPr>
      <w:r w:rsidRPr="001D50E3">
        <w:rPr>
          <w:rFonts w:ascii="Arial" w:hAnsi="Arial" w:cs="Arial"/>
        </w:rPr>
        <w:t>1.2 Varfëria dhe pabarazia e të ardhurave</w:t>
      </w:r>
    </w:p>
    <w:p w:rsidR="000E010F" w:rsidRPr="001D50E3" w:rsidRDefault="000E010F" w:rsidP="00754C28">
      <w:pPr>
        <w:pBdr>
          <w:top w:val="single" w:sz="4" w:space="1" w:color="auto"/>
          <w:left w:val="single" w:sz="4" w:space="4" w:color="auto"/>
          <w:bottom w:val="single" w:sz="4" w:space="1" w:color="auto"/>
          <w:right w:val="single" w:sz="4" w:space="4" w:color="auto"/>
        </w:pBdr>
        <w:spacing w:line="276" w:lineRule="auto"/>
        <w:jc w:val="both"/>
        <w:rPr>
          <w:rFonts w:ascii="Arial" w:hAnsi="Arial" w:cs="Arial"/>
        </w:rPr>
      </w:pPr>
      <w:r w:rsidRPr="001D50E3">
        <w:rPr>
          <w:rFonts w:ascii="Arial" w:hAnsi="Arial" w:cs="Arial"/>
        </w:rPr>
        <w:t>Të dhënat e Eurostat tregojnë se territori i CGS i përket grupeve të rajoneve me shkallën e dytë më të lartë të rrezikut të varfërisë dhe përjashtimit social. Pothuajse një e katërta e popullsisë së përgjithshme (Republika e Bullgarisë - 32,8%, Republika e Maqedonisë së Veriut - 39,9%) dhe të paktën gjysma e të papunëve (Republika e Bullgarisë - 58,7%, Republika e Maqedonisë së Veriut - 41,7%) janë konsideruar në rreziku i varfërisë në vitin 2019. Republika e Bullgarisë mban shkallën e tretë më të lartë (24%) të pensionistëve të BE-27 në rrezik të varfërisë në vitin 2019, ndërsa të dhënat reciproke për Republikën e Maqedonisë Veriore e vendosin vendin në një pozitë më të mirë (4%).</w:t>
      </w:r>
    </w:p>
    <w:p w:rsidR="000E010F" w:rsidRPr="001D50E3" w:rsidRDefault="000E010F" w:rsidP="00754C28">
      <w:pPr>
        <w:pBdr>
          <w:top w:val="single" w:sz="4" w:space="1" w:color="auto"/>
          <w:left w:val="single" w:sz="4" w:space="4" w:color="auto"/>
          <w:bottom w:val="single" w:sz="4" w:space="1" w:color="auto"/>
          <w:right w:val="single" w:sz="4" w:space="4" w:color="auto"/>
        </w:pBdr>
        <w:spacing w:line="276" w:lineRule="auto"/>
        <w:jc w:val="both"/>
        <w:rPr>
          <w:rFonts w:ascii="Arial" w:hAnsi="Arial" w:cs="Arial"/>
        </w:rPr>
      </w:pPr>
      <w:r w:rsidRPr="001D50E3">
        <w:rPr>
          <w:rFonts w:ascii="Arial" w:hAnsi="Arial" w:cs="Arial"/>
        </w:rPr>
        <w:t>Për sa i përket pabarazive në të ardhura, të dhënat më të fundit (EU-SILC - Statistikat e të Ardhurave të BE-së dhe Kushtet e Jetesës) e vendosin Republikën e Bullgarisë në krye të të gjitha shteteve anëtare me hendekun më të madh të të ardhurave midis më të varfërve dhe më të pasurve (8 herë më i madh se mesatarja e BE me 5.2 herë). Faktori kryesor që rrit rrezikun e varfërisë është mungesa e perspektivës për punë.</w:t>
      </w:r>
    </w:p>
    <w:p w:rsidR="000E010F" w:rsidRPr="001D50E3" w:rsidRDefault="000E010F" w:rsidP="00754C28">
      <w:pPr>
        <w:pBdr>
          <w:top w:val="single" w:sz="4" w:space="1" w:color="auto"/>
          <w:left w:val="single" w:sz="4" w:space="4" w:color="auto"/>
          <w:bottom w:val="single" w:sz="4" w:space="1" w:color="auto"/>
          <w:right w:val="single" w:sz="4" w:space="4" w:color="auto"/>
        </w:pBdr>
        <w:spacing w:line="276" w:lineRule="auto"/>
        <w:jc w:val="both"/>
        <w:rPr>
          <w:rFonts w:ascii="Arial" w:hAnsi="Arial" w:cs="Arial"/>
        </w:rPr>
      </w:pPr>
      <w:r w:rsidRPr="001D50E3">
        <w:rPr>
          <w:rFonts w:ascii="Arial" w:hAnsi="Arial" w:cs="Arial"/>
        </w:rPr>
        <w:t>Një qasje për trajtimin e kësaj çështjeje është propozimi i stimujve ekonomikë për përfshirje më aktive të të papunëve afatgjatë, joaktivëve (as në punësim, as në arsim dhe trajnim) dhe të moshuarve në jetën sociale, qytetare dhe ekonomike. Megjithatë, nga një këndvështrim më i përgjithshëm, çrrënjosja e varfërisë është një sfidë komplekse. Përveç urisë dhe kequshqyerjes, manifestimet e tij përfshijnë akses të kufizuar në arsim dhe shërbime të tjera bazë, diskriminim dhe përjashtim social dhe mungesë pjesëmarrjeje në vendimmarrje. Grupe të ndryshme sociale mbajnë një barrë joproporcionale të varfërisë dhe shpërndarjes së të ardhurave. Prandaj, të gjitha këto aspekte kërkojnë një qasje të integruar, shumë-sektoriale dhe shumë-menaxhuese për adresimin e shkaqeve rrënjësore të varfërisë, plotësimin e nevojave themelore të të gjithëve dhe sigurimin që të varfërit të kenë akses në burimet prodhuese, duke përfshirë arsimin dhe trajnimin, për të arritur një jetesë e qëndrueshme dhe jetë cilësore.</w:t>
      </w:r>
    </w:p>
    <w:p w:rsidR="000E010F" w:rsidRPr="001D50E3" w:rsidRDefault="000E010F" w:rsidP="00754C28">
      <w:pPr>
        <w:pBdr>
          <w:top w:val="single" w:sz="4" w:space="1" w:color="auto"/>
          <w:left w:val="single" w:sz="4" w:space="4" w:color="auto"/>
          <w:bottom w:val="single" w:sz="4" w:space="1" w:color="auto"/>
          <w:right w:val="single" w:sz="4" w:space="4" w:color="auto"/>
        </w:pBdr>
        <w:spacing w:line="276" w:lineRule="auto"/>
        <w:jc w:val="both"/>
        <w:rPr>
          <w:rFonts w:ascii="Arial" w:hAnsi="Arial" w:cs="Arial"/>
        </w:rPr>
      </w:pPr>
      <w:r w:rsidRPr="001D50E3">
        <w:rPr>
          <w:rFonts w:ascii="Arial" w:hAnsi="Arial" w:cs="Arial"/>
        </w:rPr>
        <w:t>1.3 Pabarazitë në rezultatet e arsimit dhe punësimit</w:t>
      </w:r>
    </w:p>
    <w:p w:rsidR="000E010F" w:rsidRPr="001D50E3" w:rsidRDefault="000E010F" w:rsidP="00754C28">
      <w:pPr>
        <w:pBdr>
          <w:top w:val="single" w:sz="4" w:space="1" w:color="auto"/>
          <w:left w:val="single" w:sz="4" w:space="4" w:color="auto"/>
          <w:bottom w:val="single" w:sz="4" w:space="1" w:color="auto"/>
          <w:right w:val="single" w:sz="4" w:space="4" w:color="auto"/>
        </w:pBdr>
        <w:spacing w:line="276" w:lineRule="auto"/>
        <w:jc w:val="both"/>
        <w:rPr>
          <w:rFonts w:ascii="Arial" w:hAnsi="Arial" w:cs="Arial"/>
        </w:rPr>
      </w:pPr>
      <w:r w:rsidRPr="001D50E3">
        <w:rPr>
          <w:rFonts w:ascii="Arial" w:hAnsi="Arial" w:cs="Arial"/>
        </w:rPr>
        <w:t>Struktura e institucioneve arsimore në fushën e PBS është relativisht e mirë, por me dallime të dukshme territoriale në institucionet e arsimit të mesëm dhe të lartë, të cilat ndodhen kryesisht në qendrat administrative të rajonit të programit. Përqindja e arsimit fillor dhe të mesëm të arritur në të gjithë zonën BNK është pak më e lartë</w:t>
      </w:r>
    </w:p>
    <w:p w:rsidR="005E251B" w:rsidRPr="001D50E3" w:rsidRDefault="005E251B" w:rsidP="00754C28">
      <w:pPr>
        <w:pBdr>
          <w:top w:val="single" w:sz="4" w:space="1" w:color="auto"/>
          <w:left w:val="single" w:sz="4" w:space="4" w:color="auto"/>
          <w:bottom w:val="single" w:sz="4" w:space="1" w:color="auto"/>
          <w:right w:val="single" w:sz="4" w:space="4" w:color="auto"/>
        </w:pBdr>
        <w:spacing w:line="276" w:lineRule="auto"/>
        <w:jc w:val="both"/>
        <w:rPr>
          <w:rFonts w:ascii="Arial" w:hAnsi="Arial" w:cs="Arial"/>
        </w:rPr>
      </w:pPr>
      <w:r w:rsidRPr="001D50E3">
        <w:rPr>
          <w:rFonts w:ascii="Arial" w:hAnsi="Arial" w:cs="Arial"/>
        </w:rPr>
        <w:t>ose shumë afër mesatares kombëtare të vendit përkatës. Normat e braktisjes së shkollës po bien çdo vit.</w:t>
      </w:r>
    </w:p>
    <w:p w:rsidR="005E251B" w:rsidRPr="001D50E3" w:rsidRDefault="005E251B" w:rsidP="00754C28">
      <w:pPr>
        <w:pBdr>
          <w:top w:val="single" w:sz="4" w:space="1" w:color="auto"/>
          <w:left w:val="single" w:sz="4" w:space="4" w:color="auto"/>
          <w:bottom w:val="single" w:sz="4" w:space="1" w:color="auto"/>
          <w:right w:val="single" w:sz="4" w:space="4" w:color="auto"/>
        </w:pBdr>
        <w:spacing w:line="276" w:lineRule="auto"/>
        <w:jc w:val="both"/>
        <w:rPr>
          <w:rFonts w:ascii="Arial" w:hAnsi="Arial" w:cs="Arial"/>
        </w:rPr>
      </w:pPr>
      <w:r w:rsidRPr="001D50E3">
        <w:rPr>
          <w:rFonts w:ascii="Arial" w:hAnsi="Arial" w:cs="Arial"/>
        </w:rPr>
        <w:lastRenderedPageBreak/>
        <w:t>Treguesi i Eurostat-it “Largimi i hershëm i shkollës dhe arsimimi (% e popullsisë 18-24 vjeç)” nxjerr në pah dallime të rëndësishme midis dy vendeve, si më poshtë:</w:t>
      </w:r>
    </w:p>
    <w:p w:rsidR="005E251B" w:rsidRPr="001D50E3" w:rsidRDefault="005E251B" w:rsidP="00754C28">
      <w:pPr>
        <w:pBdr>
          <w:top w:val="single" w:sz="4" w:space="1" w:color="auto"/>
          <w:left w:val="single" w:sz="4" w:space="4" w:color="auto"/>
          <w:bottom w:val="single" w:sz="4" w:space="1" w:color="auto"/>
          <w:right w:val="single" w:sz="4" w:space="4" w:color="auto"/>
        </w:pBdr>
        <w:spacing w:line="276" w:lineRule="auto"/>
        <w:jc w:val="both"/>
        <w:rPr>
          <w:rFonts w:ascii="Arial" w:hAnsi="Arial" w:cs="Arial"/>
        </w:rPr>
      </w:pPr>
      <w:r w:rsidRPr="001D50E3">
        <w:rPr>
          <w:rFonts w:ascii="Arial" w:hAnsi="Arial" w:cs="Arial"/>
        </w:rPr>
        <w:t>BE - 28 (2013-2020): 11.2 (2014); 10.3 (2019);</w:t>
      </w:r>
    </w:p>
    <w:p w:rsidR="005E251B" w:rsidRPr="001D50E3" w:rsidRDefault="005E251B" w:rsidP="00754C28">
      <w:pPr>
        <w:pBdr>
          <w:top w:val="single" w:sz="4" w:space="1" w:color="auto"/>
          <w:left w:val="single" w:sz="4" w:space="4" w:color="auto"/>
          <w:bottom w:val="single" w:sz="4" w:space="1" w:color="auto"/>
          <w:right w:val="single" w:sz="4" w:space="4" w:color="auto"/>
        </w:pBdr>
        <w:spacing w:line="276" w:lineRule="auto"/>
        <w:jc w:val="both"/>
        <w:rPr>
          <w:rFonts w:ascii="Arial" w:hAnsi="Arial" w:cs="Arial"/>
        </w:rPr>
      </w:pPr>
      <w:r w:rsidRPr="001D50E3">
        <w:rPr>
          <w:rFonts w:ascii="Arial" w:hAnsi="Arial" w:cs="Arial"/>
        </w:rPr>
        <w:t>Republika e Bullgarisë: 12.9 (2014); 13.9 (2019);</w:t>
      </w:r>
    </w:p>
    <w:p w:rsidR="005E251B" w:rsidRPr="001D50E3" w:rsidRDefault="005E251B" w:rsidP="00754C28">
      <w:pPr>
        <w:pBdr>
          <w:top w:val="single" w:sz="4" w:space="1" w:color="auto"/>
          <w:left w:val="single" w:sz="4" w:space="4" w:color="auto"/>
          <w:bottom w:val="single" w:sz="4" w:space="1" w:color="auto"/>
          <w:right w:val="single" w:sz="4" w:space="4" w:color="auto"/>
        </w:pBdr>
        <w:spacing w:line="276" w:lineRule="auto"/>
        <w:jc w:val="both"/>
        <w:rPr>
          <w:rFonts w:ascii="Arial" w:hAnsi="Arial" w:cs="Arial"/>
        </w:rPr>
      </w:pPr>
      <w:r w:rsidRPr="001D50E3">
        <w:rPr>
          <w:rFonts w:ascii="Arial" w:hAnsi="Arial" w:cs="Arial"/>
        </w:rPr>
        <w:t>Republika e Maqedonisë së Veriut: 12.5 (2014); 7.1 (2019);</w:t>
      </w:r>
    </w:p>
    <w:p w:rsidR="005E251B" w:rsidRPr="001D50E3" w:rsidRDefault="005E251B" w:rsidP="00754C28">
      <w:pPr>
        <w:pBdr>
          <w:top w:val="single" w:sz="4" w:space="1" w:color="auto"/>
          <w:left w:val="single" w:sz="4" w:space="4" w:color="auto"/>
          <w:bottom w:val="single" w:sz="4" w:space="1" w:color="auto"/>
          <w:right w:val="single" w:sz="4" w:space="4" w:color="auto"/>
        </w:pBdr>
        <w:spacing w:line="276" w:lineRule="auto"/>
        <w:jc w:val="both"/>
        <w:rPr>
          <w:rFonts w:ascii="Arial" w:hAnsi="Arial" w:cs="Arial"/>
        </w:rPr>
      </w:pPr>
      <w:r w:rsidRPr="001D50E3">
        <w:rPr>
          <w:rFonts w:ascii="Arial" w:hAnsi="Arial" w:cs="Arial"/>
        </w:rPr>
        <w:t>Republika e Bullgarisë nuk e përmbush standardin për ET 2020 (Korniza Strategjike për Bashkëpunim Evropian në Arsim dhe Trajnim) prej 10% të përqindjes së braktisjes së hershme të shkollës dhe arsimit, ndërsa Republika e Maqedonisë së Veriut jo vetëm që përmbush objektivin e ET 2020, por shënon gjithashtu përmirësim të dukshëm në këtë pikë referimi kyç për prosperitetin ekonomik.</w:t>
      </w:r>
    </w:p>
    <w:p w:rsidR="005E251B" w:rsidRPr="001D50E3" w:rsidRDefault="005E251B" w:rsidP="00754C28">
      <w:pPr>
        <w:pBdr>
          <w:top w:val="single" w:sz="4" w:space="1" w:color="auto"/>
          <w:left w:val="single" w:sz="4" w:space="4" w:color="auto"/>
          <w:bottom w:val="single" w:sz="4" w:space="1" w:color="auto"/>
          <w:right w:val="single" w:sz="4" w:space="4" w:color="auto"/>
        </w:pBdr>
        <w:spacing w:line="276" w:lineRule="auto"/>
        <w:jc w:val="both"/>
        <w:rPr>
          <w:rFonts w:ascii="Arial" w:hAnsi="Arial" w:cs="Arial"/>
        </w:rPr>
      </w:pPr>
      <w:r w:rsidRPr="001D50E3">
        <w:rPr>
          <w:rFonts w:ascii="Arial" w:hAnsi="Arial" w:cs="Arial"/>
        </w:rPr>
        <w:t>Kurrikulat e sistemit të arsimit të mesëm në të dy vendet janë të përcaktuara në mënyrë qendrore, duke i bërë ato mjaftueshëm fleksibël për t'u përditësuar me zhvillimet e shpejta teknologjike, dhe opsionet për përshtatjen e tyre janë të kufizuara në ato të orëve me zgjedhje dhe aktiviteteve jashtëshkollore. Ky mendim është i rëndësishëm kur duhen marrë masa territoriale për të kapërcyer disa deficite arsimore.</w:t>
      </w:r>
    </w:p>
    <w:p w:rsidR="005E251B" w:rsidRPr="001D50E3" w:rsidRDefault="005E251B" w:rsidP="00754C28">
      <w:pPr>
        <w:pBdr>
          <w:top w:val="single" w:sz="4" w:space="1" w:color="auto"/>
          <w:left w:val="single" w:sz="4" w:space="4" w:color="auto"/>
          <w:bottom w:val="single" w:sz="4" w:space="1" w:color="auto"/>
          <w:right w:val="single" w:sz="4" w:space="4" w:color="auto"/>
        </w:pBdr>
        <w:spacing w:line="276" w:lineRule="auto"/>
        <w:jc w:val="both"/>
        <w:rPr>
          <w:rFonts w:ascii="Arial" w:hAnsi="Arial" w:cs="Arial"/>
        </w:rPr>
      </w:pPr>
      <w:r w:rsidRPr="001D50E3">
        <w:rPr>
          <w:rFonts w:ascii="Arial" w:hAnsi="Arial" w:cs="Arial"/>
        </w:rPr>
        <w:t>Sa i përket arsimit të lartë, Republika e Bullgarisë dhe Republika e Maqedonisë së Veriut raportojnë për drejtime identike të performancës të matura nga treguesi i Eurostat-it "Shpërndarja e të diplomuarve të arsimit të lartë sipas fushave të gjera të arsimit". Të dhënat më të fundit të disponueshme (2018) tregojnë se pjesa më e madhe dhe e barabartë e të diplomuarve në të dy vendet (31,8%) vijnë nga fusha e administrimit të biznesit dhe ligjit, e ndjekur nga 13,1% pjesëmarrja e të diplomuarve në shkencat sociale dhe 12,4% në inxhinieri (Republika e Bullgaria), dhe 13,7% në art dhe shkenca humane dhe 13,3% në inxhinieri Republika e Maqedonisë së Veriut. Këto të dhëna mund të shihen si një tregues i specializimit të ardhshëm sektorial dhe si një pasqyrim i nevojave aktuale të tregut të punës.</w:t>
      </w:r>
    </w:p>
    <w:p w:rsidR="005E251B" w:rsidRPr="001D50E3" w:rsidRDefault="005E251B" w:rsidP="00754C28">
      <w:pPr>
        <w:pBdr>
          <w:top w:val="single" w:sz="4" w:space="1" w:color="auto"/>
          <w:left w:val="single" w:sz="4" w:space="4" w:color="auto"/>
          <w:bottom w:val="single" w:sz="4" w:space="1" w:color="auto"/>
          <w:right w:val="single" w:sz="4" w:space="4" w:color="auto"/>
        </w:pBdr>
        <w:spacing w:line="276" w:lineRule="auto"/>
        <w:jc w:val="both"/>
        <w:rPr>
          <w:rFonts w:ascii="Arial" w:hAnsi="Arial" w:cs="Arial"/>
        </w:rPr>
      </w:pPr>
      <w:r w:rsidRPr="001D50E3">
        <w:rPr>
          <w:rFonts w:ascii="Arial" w:hAnsi="Arial" w:cs="Arial"/>
        </w:rPr>
        <w:t>Të dy vendet kanë rezultate të dobëta në arsimin e të rriturve me dallime të vogla në krahasim me Republikën e Bullgarisë që e vendos vendin në një pozitë më të mirë. Shkalla e pjesëmarrjes në arsim dhe trajnim (25-64 vjeç) për vitin 2019 (e matur nga Eurostat) e rendit Republikën e Bullgarisë (2%) dhe Republikën e Maqedonisë së Veriut (2.8%) në fund të klasifikimit evropian (EC28: 11.3). %). Dëshmi empirike shtesë</w:t>
      </w:r>
    </w:p>
    <w:p w:rsidR="005E251B" w:rsidRPr="001D50E3" w:rsidRDefault="005E251B" w:rsidP="00754C28">
      <w:pPr>
        <w:pBdr>
          <w:top w:val="single" w:sz="4" w:space="1" w:color="auto"/>
          <w:left w:val="single" w:sz="4" w:space="4" w:color="auto"/>
          <w:bottom w:val="single" w:sz="4" w:space="1" w:color="auto"/>
          <w:right w:val="single" w:sz="4" w:space="4" w:color="auto"/>
        </w:pBdr>
        <w:spacing w:line="276" w:lineRule="auto"/>
        <w:jc w:val="both"/>
        <w:rPr>
          <w:rFonts w:ascii="Arial" w:hAnsi="Arial" w:cs="Arial"/>
        </w:rPr>
      </w:pPr>
      <w:r w:rsidRPr="001D50E3">
        <w:rPr>
          <w:rFonts w:ascii="Arial" w:hAnsi="Arial" w:cs="Arial"/>
        </w:rPr>
        <w:t>(Treguesi i Eurostat "Shpërndarja e aktiviteteve të arsimit dhe trajnimit joformal nga punëdhënësi") mbështesin supozimin se, për sa i përket zhvillimit të aftësive, dy prirje kontradiktore mbështeten në të dy vendet - në Republikën e Bullgarisë ajo drejtohet nga punëdhënësi, ndërsa në Republikën e Maqedonisë së Veriut është pak a shumë vetëqeverisëse.</w:t>
      </w:r>
    </w:p>
    <w:p w:rsidR="005E251B" w:rsidRPr="001D50E3" w:rsidRDefault="005E251B" w:rsidP="00754C28">
      <w:pPr>
        <w:pBdr>
          <w:top w:val="single" w:sz="4" w:space="1" w:color="auto"/>
          <w:left w:val="single" w:sz="4" w:space="4" w:color="auto"/>
          <w:bottom w:val="single" w:sz="4" w:space="1" w:color="auto"/>
          <w:right w:val="single" w:sz="4" w:space="4" w:color="auto"/>
        </w:pBdr>
        <w:spacing w:line="276" w:lineRule="auto"/>
        <w:jc w:val="both"/>
        <w:rPr>
          <w:rFonts w:ascii="Arial" w:hAnsi="Arial" w:cs="Arial"/>
        </w:rPr>
      </w:pPr>
      <w:r w:rsidRPr="001D50E3">
        <w:rPr>
          <w:rFonts w:ascii="Arial" w:hAnsi="Arial" w:cs="Arial"/>
        </w:rPr>
        <w:t>Norma e punësimit (ER) dhe shkalla e papunësisë (UER), 2019 (NSI dhe MACSTAT)</w:t>
      </w:r>
    </w:p>
    <w:p w:rsidR="005E251B" w:rsidRPr="001D50E3" w:rsidRDefault="005E251B" w:rsidP="00754C28">
      <w:pPr>
        <w:pBdr>
          <w:top w:val="single" w:sz="4" w:space="1" w:color="auto"/>
          <w:left w:val="single" w:sz="4" w:space="4" w:color="auto"/>
          <w:bottom w:val="single" w:sz="4" w:space="1" w:color="auto"/>
          <w:right w:val="single" w:sz="4" w:space="4" w:color="auto"/>
        </w:pBdr>
        <w:spacing w:line="276" w:lineRule="auto"/>
        <w:jc w:val="both"/>
        <w:rPr>
          <w:rFonts w:ascii="Arial" w:hAnsi="Arial" w:cs="Arial"/>
        </w:rPr>
      </w:pPr>
      <w:r w:rsidRPr="001D50E3">
        <w:rPr>
          <w:rFonts w:ascii="Arial" w:hAnsi="Arial" w:cs="Arial"/>
        </w:rPr>
        <w:t>Republika e Bullgarisë: 70.1 (ER); 4.2 (UER)</w:t>
      </w:r>
    </w:p>
    <w:p w:rsidR="005E251B" w:rsidRPr="001D50E3" w:rsidRDefault="005E251B" w:rsidP="00754C28">
      <w:pPr>
        <w:pBdr>
          <w:top w:val="single" w:sz="4" w:space="1" w:color="auto"/>
          <w:left w:val="single" w:sz="4" w:space="4" w:color="auto"/>
          <w:bottom w:val="single" w:sz="4" w:space="1" w:color="auto"/>
          <w:right w:val="single" w:sz="4" w:space="4" w:color="auto"/>
        </w:pBdr>
        <w:spacing w:line="276" w:lineRule="auto"/>
        <w:jc w:val="both"/>
        <w:rPr>
          <w:rFonts w:ascii="Arial" w:hAnsi="Arial" w:cs="Arial"/>
        </w:rPr>
      </w:pPr>
      <w:r w:rsidRPr="001D50E3">
        <w:rPr>
          <w:rFonts w:ascii="Arial" w:hAnsi="Arial" w:cs="Arial"/>
        </w:rPr>
        <w:t>Distrikti i Blagoevgradit: 75.2 (ER); 4.1 (UER);</w:t>
      </w:r>
    </w:p>
    <w:p w:rsidR="005E251B" w:rsidRPr="001D50E3" w:rsidRDefault="005E251B" w:rsidP="00754C28">
      <w:pPr>
        <w:pBdr>
          <w:top w:val="single" w:sz="4" w:space="1" w:color="auto"/>
          <w:left w:val="single" w:sz="4" w:space="4" w:color="auto"/>
          <w:bottom w:val="single" w:sz="4" w:space="1" w:color="auto"/>
          <w:right w:val="single" w:sz="4" w:space="4" w:color="auto"/>
        </w:pBdr>
        <w:spacing w:line="276" w:lineRule="auto"/>
        <w:jc w:val="both"/>
        <w:rPr>
          <w:rFonts w:ascii="Arial" w:hAnsi="Arial" w:cs="Arial"/>
        </w:rPr>
      </w:pPr>
      <w:r w:rsidRPr="001D50E3">
        <w:rPr>
          <w:rFonts w:ascii="Arial" w:hAnsi="Arial" w:cs="Arial"/>
        </w:rPr>
        <w:t>Zona e Kyustendilit: 67.6 (ER); 2.6 (UER);</w:t>
      </w:r>
    </w:p>
    <w:p w:rsidR="005E251B" w:rsidRPr="001D50E3" w:rsidRDefault="005E251B" w:rsidP="00754C28">
      <w:pPr>
        <w:pBdr>
          <w:top w:val="single" w:sz="4" w:space="1" w:color="auto"/>
          <w:left w:val="single" w:sz="4" w:space="4" w:color="auto"/>
          <w:bottom w:val="single" w:sz="4" w:space="1" w:color="auto"/>
          <w:right w:val="single" w:sz="4" w:space="4" w:color="auto"/>
        </w:pBdr>
        <w:spacing w:line="276" w:lineRule="auto"/>
        <w:jc w:val="both"/>
        <w:rPr>
          <w:rFonts w:ascii="Arial" w:hAnsi="Arial" w:cs="Arial"/>
        </w:rPr>
      </w:pPr>
      <w:r w:rsidRPr="001D50E3">
        <w:rPr>
          <w:rFonts w:ascii="Arial" w:hAnsi="Arial" w:cs="Arial"/>
        </w:rPr>
        <w:lastRenderedPageBreak/>
        <w:t>Republika e Maqedonisë së Veriut: 47.3 (ER); 17.3 (UER)</w:t>
      </w:r>
    </w:p>
    <w:p w:rsidR="005E251B" w:rsidRPr="001D50E3" w:rsidRDefault="005E251B" w:rsidP="00754C28">
      <w:pPr>
        <w:pBdr>
          <w:top w:val="single" w:sz="4" w:space="1" w:color="auto"/>
          <w:left w:val="single" w:sz="4" w:space="4" w:color="auto"/>
          <w:bottom w:val="single" w:sz="4" w:space="1" w:color="auto"/>
          <w:right w:val="single" w:sz="4" w:space="4" w:color="auto"/>
        </w:pBdr>
        <w:spacing w:line="276" w:lineRule="auto"/>
        <w:jc w:val="both"/>
        <w:rPr>
          <w:rFonts w:ascii="Arial" w:hAnsi="Arial" w:cs="Arial"/>
        </w:rPr>
      </w:pPr>
      <w:r w:rsidRPr="001D50E3">
        <w:rPr>
          <w:rFonts w:ascii="Arial" w:hAnsi="Arial" w:cs="Arial"/>
        </w:rPr>
        <w:t>Rajoni Verilindor: 37.0 (ER); 33.0 (UER);</w:t>
      </w:r>
    </w:p>
    <w:p w:rsidR="005E251B" w:rsidRPr="001D50E3" w:rsidRDefault="005E251B" w:rsidP="00754C28">
      <w:pPr>
        <w:pBdr>
          <w:top w:val="single" w:sz="4" w:space="1" w:color="auto"/>
          <w:left w:val="single" w:sz="4" w:space="4" w:color="auto"/>
          <w:bottom w:val="single" w:sz="4" w:space="1" w:color="auto"/>
          <w:right w:val="single" w:sz="4" w:space="4" w:color="auto"/>
        </w:pBdr>
        <w:spacing w:line="276" w:lineRule="auto"/>
        <w:jc w:val="both"/>
        <w:rPr>
          <w:rFonts w:ascii="Arial" w:hAnsi="Arial" w:cs="Arial"/>
        </w:rPr>
      </w:pPr>
      <w:r w:rsidRPr="001D50E3">
        <w:rPr>
          <w:rFonts w:ascii="Arial" w:hAnsi="Arial" w:cs="Arial"/>
        </w:rPr>
        <w:t>Rajoni Lindor: 54.3 (ER); 7.8 (UER);</w:t>
      </w:r>
    </w:p>
    <w:p w:rsidR="005E251B" w:rsidRPr="001D50E3" w:rsidRDefault="005E251B" w:rsidP="00754C28">
      <w:pPr>
        <w:pBdr>
          <w:top w:val="single" w:sz="4" w:space="1" w:color="auto"/>
          <w:left w:val="single" w:sz="4" w:space="4" w:color="auto"/>
          <w:bottom w:val="single" w:sz="4" w:space="1" w:color="auto"/>
          <w:right w:val="single" w:sz="4" w:space="4" w:color="auto"/>
        </w:pBdr>
        <w:spacing w:line="276" w:lineRule="auto"/>
        <w:jc w:val="both"/>
        <w:rPr>
          <w:rFonts w:ascii="Arial" w:hAnsi="Arial" w:cs="Arial"/>
        </w:rPr>
      </w:pPr>
      <w:r w:rsidRPr="001D50E3">
        <w:rPr>
          <w:rFonts w:ascii="Arial" w:hAnsi="Arial" w:cs="Arial"/>
        </w:rPr>
        <w:t>Rajoni Juglindor: 63.3 (ER); 6.3 (UER);</w:t>
      </w:r>
    </w:p>
    <w:p w:rsidR="005E251B" w:rsidRPr="001D50E3" w:rsidRDefault="005E251B" w:rsidP="00754C28">
      <w:pPr>
        <w:pBdr>
          <w:top w:val="single" w:sz="4" w:space="1" w:color="auto"/>
          <w:left w:val="single" w:sz="4" w:space="4" w:color="auto"/>
          <w:bottom w:val="single" w:sz="4" w:space="1" w:color="auto"/>
          <w:right w:val="single" w:sz="4" w:space="4" w:color="auto"/>
        </w:pBdr>
        <w:spacing w:line="276" w:lineRule="auto"/>
        <w:jc w:val="both"/>
        <w:rPr>
          <w:rFonts w:ascii="Arial" w:hAnsi="Arial" w:cs="Arial"/>
        </w:rPr>
      </w:pPr>
      <w:r w:rsidRPr="001D50E3">
        <w:rPr>
          <w:rFonts w:ascii="Arial" w:hAnsi="Arial" w:cs="Arial"/>
        </w:rPr>
        <w:t>Shkalla e ulët e punësimit në Republikën e Maqedonisë së Veriut, dhe veçanërisht ajo në rajonin verilindor (rajoni SI) në kombinim me papunësinë e lartë, tregon për deficite strukturore ekonomike dhe dallime serioze të brendshme rajonale. Prandaj, shkaqet e performancës së dobët në rajonin e CI kërkojnë një qasje të fokusuar dhe të integruar për trajtimin e tyre. Në shumicën e rasteve, qarqet/rajonet në zonën kufitare të PGJS-së me shkallë të lartë papunësie janë ose shumë larg qendrave kryesore ekonomike ose kanë një migrim tradicional të përditshëm të fuqisë punëtore, ose karakterizohen nga nivele të ulëta arsimimi dhe aftësish. Këta faktorë negativë në tregjet lokale të punës flasin për izolim të përhershëm nga proceset e vazhdueshme në nivel kombëtar.</w:t>
      </w:r>
    </w:p>
    <w:p w:rsidR="005E251B" w:rsidRPr="001D50E3" w:rsidRDefault="005E251B" w:rsidP="00754C28">
      <w:pPr>
        <w:pBdr>
          <w:top w:val="single" w:sz="4" w:space="1" w:color="auto"/>
          <w:left w:val="single" w:sz="4" w:space="4" w:color="auto"/>
          <w:bottom w:val="single" w:sz="4" w:space="1" w:color="auto"/>
          <w:right w:val="single" w:sz="4" w:space="4" w:color="auto"/>
        </w:pBdr>
        <w:spacing w:line="276" w:lineRule="auto"/>
        <w:jc w:val="both"/>
        <w:rPr>
          <w:rFonts w:ascii="Arial" w:hAnsi="Arial" w:cs="Arial"/>
        </w:rPr>
      </w:pPr>
      <w:r w:rsidRPr="001D50E3">
        <w:rPr>
          <w:rFonts w:ascii="Arial" w:hAnsi="Arial" w:cs="Arial"/>
        </w:rPr>
        <w:t>Një sfidë tjetër punësimi për të dy vendet është nevoja për të luftuar shkallën e lartë të të rinjve joaktivë (që nuk kërkojnë punësim, nuk marrin arsim shtesë dhe/ose ndjekin trajnime).</w:t>
      </w:r>
    </w:p>
    <w:p w:rsidR="005E251B" w:rsidRPr="001D50E3" w:rsidRDefault="005E251B" w:rsidP="00754C28">
      <w:pPr>
        <w:pBdr>
          <w:top w:val="single" w:sz="4" w:space="1" w:color="auto"/>
          <w:left w:val="single" w:sz="4" w:space="4" w:color="auto"/>
          <w:bottom w:val="single" w:sz="4" w:space="1" w:color="auto"/>
          <w:right w:val="single" w:sz="4" w:space="4" w:color="auto"/>
        </w:pBdr>
        <w:spacing w:line="276" w:lineRule="auto"/>
        <w:jc w:val="both"/>
        <w:rPr>
          <w:rFonts w:ascii="Arial" w:hAnsi="Arial" w:cs="Arial"/>
        </w:rPr>
      </w:pPr>
      <w:r w:rsidRPr="001D50E3">
        <w:rPr>
          <w:rFonts w:ascii="Arial" w:hAnsi="Arial" w:cs="Arial"/>
        </w:rPr>
        <w:t>BE28 (2013-2020); 13.6%</w:t>
      </w:r>
    </w:p>
    <w:p w:rsidR="005E251B" w:rsidRPr="001D50E3" w:rsidRDefault="005E251B" w:rsidP="00754C28">
      <w:pPr>
        <w:pBdr>
          <w:top w:val="single" w:sz="4" w:space="1" w:color="auto"/>
          <w:left w:val="single" w:sz="4" w:space="4" w:color="auto"/>
          <w:bottom w:val="single" w:sz="4" w:space="1" w:color="auto"/>
          <w:right w:val="single" w:sz="4" w:space="4" w:color="auto"/>
        </w:pBdr>
        <w:spacing w:line="276" w:lineRule="auto"/>
        <w:jc w:val="both"/>
        <w:rPr>
          <w:rFonts w:ascii="Arial" w:hAnsi="Arial" w:cs="Arial"/>
        </w:rPr>
      </w:pPr>
      <w:r w:rsidRPr="001D50E3">
        <w:rPr>
          <w:rFonts w:ascii="Arial" w:hAnsi="Arial" w:cs="Arial"/>
        </w:rPr>
        <w:t>Republika e Bullgarisë (2013-2020); 17.5%</w:t>
      </w:r>
    </w:p>
    <w:p w:rsidR="005E251B" w:rsidRPr="001D50E3" w:rsidRDefault="005E251B" w:rsidP="00754C28">
      <w:pPr>
        <w:pBdr>
          <w:top w:val="single" w:sz="4" w:space="1" w:color="auto"/>
          <w:left w:val="single" w:sz="4" w:space="4" w:color="auto"/>
          <w:bottom w:val="single" w:sz="4" w:space="1" w:color="auto"/>
          <w:right w:val="single" w:sz="4" w:space="4" w:color="auto"/>
        </w:pBdr>
        <w:spacing w:line="276" w:lineRule="auto"/>
        <w:jc w:val="both"/>
        <w:rPr>
          <w:rFonts w:ascii="Arial" w:hAnsi="Arial" w:cs="Arial"/>
        </w:rPr>
      </w:pPr>
      <w:r w:rsidRPr="001D50E3">
        <w:rPr>
          <w:rFonts w:ascii="Arial" w:hAnsi="Arial" w:cs="Arial"/>
        </w:rPr>
        <w:t>Republika e Maqedonisë së Veriut (2013-2020): 26,7%</w:t>
      </w:r>
    </w:p>
    <w:p w:rsidR="000E010F" w:rsidRPr="001D50E3" w:rsidRDefault="005E251B" w:rsidP="00754C28">
      <w:pPr>
        <w:pBdr>
          <w:top w:val="single" w:sz="4" w:space="1" w:color="auto"/>
          <w:left w:val="single" w:sz="4" w:space="4" w:color="auto"/>
          <w:bottom w:val="single" w:sz="4" w:space="1" w:color="auto"/>
          <w:right w:val="single" w:sz="4" w:space="4" w:color="auto"/>
        </w:pBdr>
        <w:spacing w:line="276" w:lineRule="auto"/>
        <w:jc w:val="both"/>
        <w:rPr>
          <w:rFonts w:ascii="Arial" w:hAnsi="Arial" w:cs="Arial"/>
        </w:rPr>
      </w:pPr>
      <w:r w:rsidRPr="001D50E3">
        <w:rPr>
          <w:rFonts w:ascii="Arial" w:hAnsi="Arial" w:cs="Arial"/>
        </w:rPr>
        <w:t>Mungesa e mundësive të barabarta të punësimit për të rinjtë në fushën e CSR-së ngre shqetësimin se pabarazitë ekonomike rajonale mund të thellohen më tej nga përjashtimi i një brezi të tërë të rinjsh nga tregu i punës në fushën e bashkëpunimit ndërkufitar në vitet e ardhshme. . Prandaj, përpjekjet institucionale dhe të biznesit për të zhvilluar punë atraktive</w:t>
      </w:r>
    </w:p>
    <w:p w:rsidR="005E251B" w:rsidRPr="001D50E3" w:rsidRDefault="005E251B" w:rsidP="00754C28">
      <w:pPr>
        <w:pBdr>
          <w:top w:val="single" w:sz="4" w:space="1" w:color="auto"/>
          <w:left w:val="single" w:sz="4" w:space="4" w:color="auto"/>
          <w:bottom w:val="single" w:sz="4" w:space="1" w:color="auto"/>
          <w:right w:val="single" w:sz="4" w:space="4" w:color="auto"/>
        </w:pBdr>
        <w:spacing w:line="276" w:lineRule="auto"/>
        <w:jc w:val="both"/>
        <w:rPr>
          <w:rFonts w:ascii="Arial" w:hAnsi="Arial" w:cs="Arial"/>
        </w:rPr>
      </w:pPr>
      <w:r w:rsidRPr="001D50E3">
        <w:rPr>
          <w:rFonts w:ascii="Arial" w:hAnsi="Arial" w:cs="Arial"/>
        </w:rPr>
        <w:t>Marrëveshjet për mijëvjeçarë janë absolutisht të nevojshme, veçanërisht në fazën e kalimit nga arsimi në tregun e punës.</w:t>
      </w:r>
    </w:p>
    <w:p w:rsidR="005E251B" w:rsidRPr="001D50E3" w:rsidRDefault="005E251B" w:rsidP="00754C28">
      <w:pPr>
        <w:pBdr>
          <w:top w:val="single" w:sz="4" w:space="1" w:color="auto"/>
          <w:left w:val="single" w:sz="4" w:space="4" w:color="auto"/>
          <w:bottom w:val="single" w:sz="4" w:space="1" w:color="auto"/>
          <w:right w:val="single" w:sz="4" w:space="4" w:color="auto"/>
        </w:pBdr>
        <w:spacing w:line="276" w:lineRule="auto"/>
        <w:jc w:val="both"/>
        <w:rPr>
          <w:rFonts w:ascii="Arial" w:hAnsi="Arial" w:cs="Arial"/>
        </w:rPr>
      </w:pPr>
      <w:r w:rsidRPr="001D50E3">
        <w:rPr>
          <w:rFonts w:ascii="Arial" w:hAnsi="Arial" w:cs="Arial"/>
        </w:rPr>
        <w:t>1.4 Pabarazitë në aksesin në kujdesin shëndetësor</w:t>
      </w:r>
    </w:p>
    <w:p w:rsidR="005E251B" w:rsidRPr="001D50E3" w:rsidRDefault="005E251B" w:rsidP="00754C28">
      <w:pPr>
        <w:pBdr>
          <w:top w:val="single" w:sz="4" w:space="1" w:color="auto"/>
          <w:left w:val="single" w:sz="4" w:space="4" w:color="auto"/>
          <w:bottom w:val="single" w:sz="4" w:space="1" w:color="auto"/>
          <w:right w:val="single" w:sz="4" w:space="4" w:color="auto"/>
        </w:pBdr>
        <w:spacing w:line="276" w:lineRule="auto"/>
        <w:jc w:val="both"/>
        <w:rPr>
          <w:rFonts w:ascii="Arial" w:hAnsi="Arial" w:cs="Arial"/>
        </w:rPr>
      </w:pPr>
      <w:r w:rsidRPr="001D50E3">
        <w:rPr>
          <w:rFonts w:ascii="Arial" w:hAnsi="Arial" w:cs="Arial"/>
        </w:rPr>
        <w:t>Sfidat shëndetësore në rajonin kufitar përmes BNK-së lidhen kryesisht me: (1) pabarazitë në ofrimin e shërbimeve shëndetësore në zonat urbane dhe rurale; (2) cilësia e shërbimeve shëndetësore, (3) mungesa e personelit mjekësor, (4) pjesa e lartë relative e kostove individuale shëndetësore. Largësia e disa bashkive të vogla nga aglomeracionet urbane nga pikëpamja e ofrimit të ndihmës mjekësore (primare, specialistike, spitalore, urgjente dhe urgjente) mbetet një sfidë serioze për SBP në shëndetësi.</w:t>
      </w:r>
    </w:p>
    <w:p w:rsidR="005E251B" w:rsidRPr="001D50E3" w:rsidRDefault="005E251B" w:rsidP="00754C28">
      <w:pPr>
        <w:pBdr>
          <w:top w:val="single" w:sz="4" w:space="1" w:color="auto"/>
          <w:left w:val="single" w:sz="4" w:space="4" w:color="auto"/>
          <w:bottom w:val="single" w:sz="4" w:space="1" w:color="auto"/>
          <w:right w:val="single" w:sz="4" w:space="4" w:color="auto"/>
        </w:pBdr>
        <w:spacing w:line="276" w:lineRule="auto"/>
        <w:jc w:val="both"/>
        <w:rPr>
          <w:rFonts w:ascii="Arial" w:hAnsi="Arial" w:cs="Arial"/>
        </w:rPr>
      </w:pPr>
      <w:r w:rsidRPr="001D50E3">
        <w:rPr>
          <w:rFonts w:ascii="Arial" w:hAnsi="Arial" w:cs="Arial"/>
        </w:rPr>
        <w:t>1.5 Pabarazitë në konkurrencë dhe mjedisin e biznesit</w:t>
      </w:r>
    </w:p>
    <w:p w:rsidR="005E251B" w:rsidRPr="001D50E3" w:rsidRDefault="005E251B" w:rsidP="00754C28">
      <w:pPr>
        <w:pBdr>
          <w:top w:val="single" w:sz="4" w:space="1" w:color="auto"/>
          <w:left w:val="single" w:sz="4" w:space="4" w:color="auto"/>
          <w:bottom w:val="single" w:sz="4" w:space="1" w:color="auto"/>
          <w:right w:val="single" w:sz="4" w:space="4" w:color="auto"/>
        </w:pBdr>
        <w:spacing w:line="276" w:lineRule="auto"/>
        <w:jc w:val="both"/>
        <w:rPr>
          <w:rFonts w:ascii="Arial" w:hAnsi="Arial" w:cs="Arial"/>
        </w:rPr>
      </w:pPr>
      <w:r w:rsidRPr="001D50E3">
        <w:rPr>
          <w:rFonts w:ascii="Arial" w:hAnsi="Arial" w:cs="Arial"/>
        </w:rPr>
        <w:t xml:space="preserve">Në edicionin e Indeksit Global të Konkurrueshmërisë (GCI) për 2018-2019, Republika e Bullgarisë renditet e 49-ta nga 141 shtete të analizuara, duke u avancuar nga vendi i 51-të në edicionin e mëparshëm, ndërsa Republika e Maqedonisë së Veriut është në vendin e 82-të. por ka përparuar dy vende që nga edicioni i mëparshëm. Shifrat nga edicioni 2019 tregojnë se Republika e Bullgarisë ka tregues më të mirë në stabilitetin makroekonomik, kushtet e tregut të punës, sistemin financiar dhe ekosistemin e inovacionit. Në të njëjtën kohë, shifrat për shtyllat e </w:t>
      </w:r>
      <w:r w:rsidRPr="001D50E3">
        <w:rPr>
          <w:rFonts w:ascii="Arial" w:hAnsi="Arial" w:cs="Arial"/>
        </w:rPr>
        <w:lastRenderedPageBreak/>
        <w:t>mëposhtme tregojnë nevojën për përmirësim: infrastruktura, shëndetësia, tregu i produkteve dhe dinamika e biznesit. Performanca e Republikës së Maqedonisë së Veriut është e përzier, me përparim të dukshëm në disa dimensione, ndërsa në disa të tjera ka humbur terren. Ndër elementët më të përmirësuar, Republika e Maqedonisë së Veriut është duke avancuar në ekosistemin inovativ, shëndetin dhe adoptimin e TIK-ut.</w:t>
      </w:r>
    </w:p>
    <w:p w:rsidR="005E251B" w:rsidRPr="001D50E3" w:rsidRDefault="005E251B" w:rsidP="00754C28">
      <w:pPr>
        <w:pBdr>
          <w:top w:val="single" w:sz="4" w:space="1" w:color="auto"/>
          <w:left w:val="single" w:sz="4" w:space="4" w:color="auto"/>
          <w:bottom w:val="single" w:sz="4" w:space="1" w:color="auto"/>
          <w:right w:val="single" w:sz="4" w:space="4" w:color="auto"/>
        </w:pBdr>
        <w:spacing w:line="276" w:lineRule="auto"/>
        <w:jc w:val="both"/>
        <w:rPr>
          <w:rFonts w:ascii="Arial" w:hAnsi="Arial" w:cs="Arial"/>
        </w:rPr>
      </w:pPr>
      <w:r w:rsidRPr="001D50E3">
        <w:rPr>
          <w:rFonts w:ascii="Arial" w:hAnsi="Arial" w:cs="Arial"/>
        </w:rPr>
        <w:t>Mjedisi i kompanisë në të dy vendet i ngjan një strukture të veçantë të dyfishtë. Në njërin ekstrem ka disa ndërmarrje të mëdha, moderne, të bazuara në burime, të bazuara në burime, të varura nga importi dhe të orientuara nga montimi, ndërsa në ekstremin tjetër janë ndërmarrjet e vogla dhe mikro që përdorin teknologji shumë të thjeshta dhe tradicionale dhe i shërbejnë një lokali të kufizuar. tregu. Prandaj, një rrugë e rëndësishme veprimi në të ardhmen që kërkon një vëmendje të madhe nga BNK është nevoja që operatorët ekonomikë vendas të ndërmarrin transformim teknologjik, duke i inkurajuar ata të inkurajojnë një zhvendosje gradual të prodhimit nga teknologjia e ulët në teknologjinë e mesme, që kërkon përhapje të gjerë. punësimi i teknologjive dhe zgjidhjeve të reja.</w:t>
      </w:r>
    </w:p>
    <w:p w:rsidR="005E251B" w:rsidRPr="001D50E3" w:rsidRDefault="005E251B" w:rsidP="00754C28">
      <w:pPr>
        <w:pBdr>
          <w:top w:val="single" w:sz="4" w:space="1" w:color="auto"/>
          <w:left w:val="single" w:sz="4" w:space="4" w:color="auto"/>
          <w:bottom w:val="single" w:sz="4" w:space="1" w:color="auto"/>
          <w:right w:val="single" w:sz="4" w:space="4" w:color="auto"/>
        </w:pBdr>
        <w:spacing w:line="276" w:lineRule="auto"/>
        <w:jc w:val="both"/>
        <w:rPr>
          <w:rFonts w:ascii="Arial" w:hAnsi="Arial" w:cs="Arial"/>
        </w:rPr>
      </w:pPr>
      <w:r w:rsidRPr="001D50E3">
        <w:rPr>
          <w:rFonts w:ascii="Arial" w:hAnsi="Arial" w:cs="Arial"/>
        </w:rPr>
        <w:t>Të dhënat e Eurostat-it për demografinë e biznesit tregojnë rritje të qëndrueshme, ndërmjet viteve 2014 dhe 2018, të kompanive aktive në pjesën bullgare të fushës së bashkëpunimit ndërkufitar (zona Blagoevgrad dhe Kyustendil), ndërsa Statistikat Kombëtare të [Republikës së Maqedonisë së Veriut] tregojnë të kundërtën. trend - rënie në numrin e përgjithshëm të ndërmarrjeve aktive. Kompanitë aktive në sektorin e shërbimeve dominojnë në fushën e bashkëpunimit ndërkufitar, pasuar nga numri i kompanive në industri dhe ndërtim. Të dhënat për demografinë e biznesit tregojnë aktivitete më intensive ekonomike në anën bullgare të kufirit, përkundër kushteve më të mira për të bërë biznes në Republikën e Maqedonisë së Veriut. Vendi renditet i 17-ti nga 190 vende në renditjen e Bankës Botërore për të bërë biznes për vitin 2020, ndërsa Republika e Bullgarisë renditet e 61-ta. Mjedisi afarist në pjesën për bashkëpunim ndërkufitar të Republikës së Maqedonisë së Veriut është më i favorshëm në qendrat urbane ekonomike, sociale dhe kulturore Shtip (rajoni lindor) dhe Strumicë (rajoni juglindor) më së shumti për faktin se korridoret e rëndësishme të transportit ofrojnë akses të lehtë në këto qendra dhe rrjedhimisht në kryeqytet, gjë që ofron mundësi për komunikim dhe bashkëpunim të lehtë ndërmjet subjekteve.</w:t>
      </w:r>
    </w:p>
    <w:p w:rsidR="005E251B" w:rsidRPr="001D50E3" w:rsidRDefault="005E251B" w:rsidP="00754C28">
      <w:pPr>
        <w:pBdr>
          <w:top w:val="single" w:sz="4" w:space="1" w:color="auto"/>
          <w:left w:val="single" w:sz="4" w:space="4" w:color="auto"/>
          <w:bottom w:val="single" w:sz="4" w:space="1" w:color="auto"/>
          <w:right w:val="single" w:sz="4" w:space="4" w:color="auto"/>
        </w:pBdr>
        <w:spacing w:line="276" w:lineRule="auto"/>
        <w:jc w:val="both"/>
        <w:rPr>
          <w:rFonts w:ascii="Arial" w:hAnsi="Arial" w:cs="Arial"/>
        </w:rPr>
      </w:pPr>
      <w:r w:rsidRPr="001D50E3">
        <w:rPr>
          <w:rFonts w:ascii="Arial" w:hAnsi="Arial" w:cs="Arial"/>
        </w:rPr>
        <w:t>1.6 Miratimi i dobët i inovacioneve dixhitale</w:t>
      </w:r>
    </w:p>
    <w:p w:rsidR="005E251B" w:rsidRPr="001D50E3" w:rsidRDefault="005E251B" w:rsidP="00754C28">
      <w:pPr>
        <w:pBdr>
          <w:top w:val="single" w:sz="4" w:space="1" w:color="auto"/>
          <w:left w:val="single" w:sz="4" w:space="4" w:color="auto"/>
          <w:bottom w:val="single" w:sz="4" w:space="1" w:color="auto"/>
          <w:right w:val="single" w:sz="4" w:space="4" w:color="auto"/>
        </w:pBdr>
        <w:spacing w:line="276" w:lineRule="auto"/>
        <w:jc w:val="both"/>
        <w:rPr>
          <w:rFonts w:ascii="Arial" w:hAnsi="Arial" w:cs="Arial"/>
        </w:rPr>
      </w:pPr>
      <w:r w:rsidRPr="001D50E3">
        <w:rPr>
          <w:rFonts w:ascii="Arial" w:hAnsi="Arial" w:cs="Arial"/>
        </w:rPr>
        <w:t>Që nga ndërtimi i Indeksit Dixhital Ekonomik dhe Social - DESI, Republika e Bullgarisë është renditur e fundit në çdo botim të indeksit në të gjithë treguesit - lidhshmëria, aftësitë dixhitale, përdorimi i shërbimeve të internetit, integrimi i teknologjive dixhitale, shërbimet publike dixhitale. Ish Republika Jugosllave e Maqedonisë gjithashtu ka një rezultat të ulët (2.3 nga 5) në Perspektivën Konkurruese të OECD (2018) për sa i përket dixhitalizimit.</w:t>
      </w:r>
    </w:p>
    <w:p w:rsidR="005E251B" w:rsidRPr="001D50E3" w:rsidRDefault="005E251B" w:rsidP="00754C28">
      <w:pPr>
        <w:pBdr>
          <w:top w:val="single" w:sz="4" w:space="1" w:color="auto"/>
          <w:left w:val="single" w:sz="4" w:space="4" w:color="auto"/>
          <w:bottom w:val="single" w:sz="4" w:space="1" w:color="auto"/>
          <w:right w:val="single" w:sz="4" w:space="4" w:color="auto"/>
        </w:pBdr>
        <w:spacing w:line="276" w:lineRule="auto"/>
        <w:jc w:val="both"/>
        <w:rPr>
          <w:rFonts w:ascii="Arial" w:hAnsi="Arial" w:cs="Arial"/>
        </w:rPr>
      </w:pPr>
      <w:r w:rsidRPr="001D50E3">
        <w:rPr>
          <w:rFonts w:ascii="Arial" w:hAnsi="Arial" w:cs="Arial"/>
        </w:rPr>
        <w:t>Bordi Evropian i Inovacionit 2018 vlerëson Republikën e Bullgarisë dhe Republikën e Maqedonisë së Veriut si novatorë modestë. Të dy vendeve u mungon infrastruktura e inovacionit dhe bashkëpunimi dhe bashkërendimi midis akademisë, sektorit privat dhe qeverisë.</w:t>
      </w:r>
    </w:p>
    <w:p w:rsidR="005E251B" w:rsidRPr="001D50E3" w:rsidRDefault="005E251B" w:rsidP="00754C28">
      <w:pPr>
        <w:pBdr>
          <w:top w:val="single" w:sz="4" w:space="1" w:color="auto"/>
          <w:left w:val="single" w:sz="4" w:space="4" w:color="auto"/>
          <w:bottom w:val="single" w:sz="4" w:space="1" w:color="auto"/>
          <w:right w:val="single" w:sz="4" w:space="4" w:color="auto"/>
        </w:pBdr>
        <w:spacing w:line="276" w:lineRule="auto"/>
        <w:jc w:val="both"/>
        <w:rPr>
          <w:rFonts w:ascii="Arial" w:hAnsi="Arial" w:cs="Arial"/>
        </w:rPr>
      </w:pPr>
      <w:r w:rsidRPr="001D50E3">
        <w:rPr>
          <w:rFonts w:ascii="Arial" w:hAnsi="Arial" w:cs="Arial"/>
        </w:rPr>
        <w:t>Në aspektin e ndërmarrësisë, performanca e Republikës së Maqedonisë së Veriut është nën mesataren e BE-së, duke përjashtuar synimet sipërmarrëse që janë më shumë se 10% më të larta se mesatarja e BE-së. Aktiviteti sipërmarrës i drejtuar nga mundësitë</w:t>
      </w:r>
    </w:p>
    <w:p w:rsidR="005E251B" w:rsidRPr="001D50E3" w:rsidRDefault="005E251B" w:rsidP="00754C28">
      <w:pPr>
        <w:pBdr>
          <w:top w:val="single" w:sz="4" w:space="1" w:color="auto"/>
          <w:left w:val="single" w:sz="4" w:space="4" w:color="auto"/>
          <w:bottom w:val="single" w:sz="4" w:space="1" w:color="auto"/>
          <w:right w:val="single" w:sz="4" w:space="4" w:color="auto"/>
        </w:pBdr>
        <w:spacing w:line="276" w:lineRule="auto"/>
        <w:jc w:val="both"/>
        <w:rPr>
          <w:rFonts w:ascii="Arial" w:hAnsi="Arial" w:cs="Arial"/>
        </w:rPr>
      </w:pPr>
      <w:r w:rsidRPr="001D50E3">
        <w:rPr>
          <w:rFonts w:ascii="Arial" w:hAnsi="Arial" w:cs="Arial"/>
        </w:rPr>
        <w:lastRenderedPageBreak/>
        <w:t>3 https://ec.europa.eu/eurostat/databrowser/view/BD_HGNACE2_R3__custom_692265/default/table?lang=en</w:t>
      </w:r>
    </w:p>
    <w:p w:rsidR="005E251B" w:rsidRPr="001D50E3" w:rsidRDefault="005E251B" w:rsidP="00754C28">
      <w:pPr>
        <w:pBdr>
          <w:top w:val="single" w:sz="4" w:space="1" w:color="auto"/>
          <w:left w:val="single" w:sz="4" w:space="4" w:color="auto"/>
          <w:bottom w:val="single" w:sz="4" w:space="1" w:color="auto"/>
          <w:right w:val="single" w:sz="4" w:space="4" w:color="auto"/>
        </w:pBdr>
        <w:spacing w:line="276" w:lineRule="auto"/>
        <w:jc w:val="both"/>
        <w:rPr>
          <w:rFonts w:ascii="Arial" w:hAnsi="Arial" w:cs="Arial"/>
        </w:rPr>
      </w:pPr>
      <w:r w:rsidRPr="001D50E3">
        <w:rPr>
          <w:rFonts w:ascii="Arial" w:hAnsi="Arial" w:cs="Arial"/>
        </w:rPr>
        <w:t xml:space="preserve"> 4   </w:t>
      </w:r>
      <w:hyperlink r:id="rId8" w:history="1">
        <w:r w:rsidRPr="001D50E3">
          <w:rPr>
            <w:rStyle w:val="Hyperlink"/>
            <w:rFonts w:ascii="Arial" w:hAnsi="Arial" w:cs="Arial"/>
          </w:rPr>
          <w:t>https://ec.europa.eu/digital-single-market/en/digital-economy-and-society-index-desi</w:t>
        </w:r>
      </w:hyperlink>
    </w:p>
    <w:p w:rsidR="005E251B" w:rsidRPr="001D50E3" w:rsidRDefault="005E251B" w:rsidP="00754C28">
      <w:pPr>
        <w:pBdr>
          <w:top w:val="single" w:sz="4" w:space="1" w:color="auto"/>
          <w:left w:val="single" w:sz="4" w:space="4" w:color="auto"/>
          <w:bottom w:val="single" w:sz="4" w:space="1" w:color="auto"/>
          <w:right w:val="single" w:sz="4" w:space="4" w:color="auto"/>
        </w:pBdr>
        <w:spacing w:line="276" w:lineRule="auto"/>
        <w:jc w:val="both"/>
        <w:rPr>
          <w:rFonts w:ascii="Arial" w:hAnsi="Arial" w:cs="Arial"/>
        </w:rPr>
      </w:pPr>
      <w:r w:rsidRPr="001D50E3">
        <w:rPr>
          <w:rFonts w:ascii="Arial" w:hAnsi="Arial" w:cs="Arial"/>
        </w:rPr>
        <w:t>në vend është më i ulëti krahasuar me të gjitha vendet e BE-së dhe jashtë BE-së. Një dështim i njëjtë është vërejtur edhe në Republikën e Bullgarisë. Vendi është shumë nën mesataren e BE-së në sipërmarrje, me rezultatin më të ulët nga të gjitha shtetet anëtare.</w:t>
      </w:r>
    </w:p>
    <w:p w:rsidR="005E251B" w:rsidRPr="001D50E3" w:rsidRDefault="005E251B" w:rsidP="00754C28">
      <w:pPr>
        <w:pBdr>
          <w:top w:val="single" w:sz="4" w:space="1" w:color="auto"/>
          <w:left w:val="single" w:sz="4" w:space="4" w:color="auto"/>
          <w:bottom w:val="single" w:sz="4" w:space="1" w:color="auto"/>
          <w:right w:val="single" w:sz="4" w:space="4" w:color="auto"/>
        </w:pBdr>
        <w:spacing w:line="276" w:lineRule="auto"/>
        <w:jc w:val="both"/>
        <w:rPr>
          <w:rFonts w:ascii="Arial" w:hAnsi="Arial" w:cs="Arial"/>
        </w:rPr>
      </w:pPr>
      <w:r w:rsidRPr="001D50E3">
        <w:rPr>
          <w:rFonts w:ascii="Arial" w:hAnsi="Arial" w:cs="Arial"/>
        </w:rPr>
        <w:t>Pavarësisht performancës së dobët të Republikës së Bullgarisë dhe Republikës së Maqedonisë së Veriut në renditjen aktuale, industria e TIK-ut në të dy vendet është zhvilluar gradualisht në dekadën e fundit. Lidhja me internetin dhe përdorimi i tij janë parakushte të tjera të rëndësishme për zbatimin e politikave dhe praktikave të transformimit dixhital. Eurostat ofron informacion të krahasueshëm (të dhëna për vitin 2019) për përqindjen e familjeve me akses në internet - Republika e Maqedonisë së Veriut raporton një rezultat më të lartë (82%) se ai i Republikës së Bullgarisë (75%). Penetrimi fiks i brezit të gjerë mbetet i kufizuar në të dy vendet, duke ndikuar negativisht në transformimin dhe konkurrencën dixhitale. Sipas Fletëve të të Dhënave të Qeverisë Dixhitale 2019, të dy vendet po performojnë nën mesataren e BE-së, por ende tregojnë shkallë të ndryshme të përmirësimit dixhital. Republika e Maqedonisë së Veriut është më e avancuar në dixhitalizimin e shëndetësisë, ndërsa Republika e Bullgarisë ka rezultate më të mira në shërbimin administrativ.</w:t>
      </w:r>
    </w:p>
    <w:p w:rsidR="005E251B" w:rsidRPr="001D50E3" w:rsidRDefault="005E251B" w:rsidP="00754C28">
      <w:pPr>
        <w:pBdr>
          <w:top w:val="single" w:sz="4" w:space="1" w:color="auto"/>
          <w:left w:val="single" w:sz="4" w:space="4" w:color="auto"/>
          <w:bottom w:val="single" w:sz="4" w:space="1" w:color="auto"/>
          <w:right w:val="single" w:sz="4" w:space="4" w:color="auto"/>
        </w:pBdr>
        <w:spacing w:line="276" w:lineRule="auto"/>
        <w:jc w:val="both"/>
        <w:rPr>
          <w:rFonts w:ascii="Arial" w:hAnsi="Arial" w:cs="Arial"/>
        </w:rPr>
      </w:pPr>
      <w:r w:rsidRPr="001D50E3">
        <w:rPr>
          <w:rFonts w:ascii="Arial" w:hAnsi="Arial" w:cs="Arial"/>
        </w:rPr>
        <w:t>Pjesa e sektorëve me intensitet njohurish në ekonomitë e të dy vendeve është më e ulët se mesatarja e BE-së, e cila lidhet me investimet më të ulëta në K&amp;Zh dhe performancën e produktivitetit. Shumica e vendeve të punës të krijuara nga firmat e reja janë shfaqur në sektorë më pak produktivë të ekonomisë. Sistemi i kërkimit dhe inovacionit të të dy vendeve përballet me një sërë mangësish strukturore. Në veçanti, ato përfshijnë nivele të ulëta të investimeve publike dhe private në kërkimin dhe zhvillimin, fragmentimin e bazës publike të shkencës, mungesën dhe vjetërsinë e burimeve njerëzore të kualifikuara, lidhjet e dobëta shkencë-biznes, patentat dhe licencat e ulëta dhe menaxhimin joefikas. Të gjitha këto mangësi pengojnë kontributin e mundshëm të K&amp;ZH në produktivitetin dhe rritjen ekonomike dhe do të kufizojnë ndjeshëm kapacitetin për konvergjencë në rritje në afat të mesëm.</w:t>
      </w:r>
    </w:p>
    <w:p w:rsidR="005E251B" w:rsidRPr="001D50E3" w:rsidRDefault="005E251B" w:rsidP="00754C28">
      <w:pPr>
        <w:pBdr>
          <w:top w:val="single" w:sz="4" w:space="1" w:color="auto"/>
          <w:left w:val="single" w:sz="4" w:space="4" w:color="auto"/>
          <w:bottom w:val="single" w:sz="4" w:space="1" w:color="auto"/>
          <w:right w:val="single" w:sz="4" w:space="4" w:color="auto"/>
        </w:pBdr>
        <w:spacing w:line="276" w:lineRule="auto"/>
        <w:jc w:val="both"/>
        <w:rPr>
          <w:rFonts w:ascii="Arial" w:hAnsi="Arial" w:cs="Arial"/>
        </w:rPr>
      </w:pPr>
      <w:r w:rsidRPr="001D50E3">
        <w:rPr>
          <w:rFonts w:ascii="Arial" w:hAnsi="Arial" w:cs="Arial"/>
        </w:rPr>
        <w:t>1.7 Infrastruktura turistike e pazhvilluar gjatë vitit</w:t>
      </w:r>
    </w:p>
    <w:p w:rsidR="005E251B" w:rsidRPr="001D50E3" w:rsidRDefault="005E251B" w:rsidP="00754C28">
      <w:pPr>
        <w:pStyle w:val="FootnoteText"/>
        <w:jc w:val="both"/>
        <w:rPr>
          <w:rFonts w:ascii="Arial" w:hAnsi="Arial" w:cs="Arial"/>
          <w:sz w:val="22"/>
          <w:szCs w:val="22"/>
          <w:lang w:val="en-US"/>
        </w:rPr>
      </w:pPr>
      <w:r w:rsidRPr="001D50E3">
        <w:rPr>
          <w:rStyle w:val="FootnoteReference"/>
          <w:rFonts w:ascii="Arial" w:hAnsi="Arial" w:cs="Arial"/>
          <w:sz w:val="22"/>
          <w:szCs w:val="22"/>
        </w:rPr>
        <w:footnoteRef/>
      </w:r>
      <w:hyperlink r:id="rId9" w:history="1">
        <w:r w:rsidRPr="001D50E3">
          <w:rPr>
            <w:rStyle w:val="Hyperlink"/>
            <w:rFonts w:ascii="Arial" w:hAnsi="Arial" w:cs="Arial"/>
            <w:sz w:val="22"/>
            <w:szCs w:val="22"/>
          </w:rPr>
          <w:t>https://joinup.ec.europa.eu/collection/nifo-national-interoperability-framework-observatory/digital-government-factsheets-2019</w:t>
        </w:r>
      </w:hyperlink>
      <w:r w:rsidRPr="001D50E3">
        <w:rPr>
          <w:rFonts w:ascii="Arial" w:hAnsi="Arial" w:cs="Arial"/>
          <w:sz w:val="22"/>
          <w:szCs w:val="22"/>
          <w:lang w:val="en-US"/>
        </w:rPr>
        <w:t xml:space="preserve"> </w:t>
      </w:r>
    </w:p>
    <w:p w:rsidR="005E251B" w:rsidRPr="001D50E3" w:rsidRDefault="005E251B" w:rsidP="00754C28">
      <w:pPr>
        <w:pStyle w:val="FootnoteText"/>
        <w:jc w:val="both"/>
        <w:rPr>
          <w:rFonts w:ascii="Arial" w:hAnsi="Arial" w:cs="Arial"/>
          <w:sz w:val="22"/>
          <w:szCs w:val="22"/>
          <w:lang w:val="mk-MK"/>
        </w:rPr>
      </w:pPr>
    </w:p>
    <w:p w:rsidR="005E251B" w:rsidRPr="001D50E3" w:rsidRDefault="005E251B" w:rsidP="00754C28">
      <w:pPr>
        <w:pBdr>
          <w:top w:val="single" w:sz="4" w:space="1" w:color="auto"/>
          <w:left w:val="single" w:sz="4" w:space="4" w:color="auto"/>
          <w:bottom w:val="single" w:sz="4" w:space="1" w:color="auto"/>
          <w:right w:val="single" w:sz="4" w:space="4" w:color="auto"/>
        </w:pBdr>
        <w:spacing w:line="276" w:lineRule="auto"/>
        <w:jc w:val="both"/>
        <w:rPr>
          <w:rFonts w:ascii="Arial" w:hAnsi="Arial" w:cs="Arial"/>
        </w:rPr>
      </w:pPr>
    </w:p>
    <w:p w:rsidR="005E251B" w:rsidRPr="001D50E3" w:rsidRDefault="005E251B" w:rsidP="00754C28">
      <w:pPr>
        <w:pBdr>
          <w:top w:val="single" w:sz="4" w:space="1" w:color="auto"/>
          <w:left w:val="single" w:sz="4" w:space="4" w:color="auto"/>
          <w:bottom w:val="single" w:sz="4" w:space="1" w:color="auto"/>
          <w:right w:val="single" w:sz="4" w:space="4" w:color="auto"/>
        </w:pBdr>
        <w:spacing w:line="276" w:lineRule="auto"/>
        <w:jc w:val="both"/>
        <w:rPr>
          <w:rFonts w:ascii="Arial" w:hAnsi="Arial" w:cs="Arial"/>
        </w:rPr>
      </w:pPr>
      <w:r w:rsidRPr="001D50E3">
        <w:rPr>
          <w:rFonts w:ascii="Arial" w:hAnsi="Arial" w:cs="Arial"/>
        </w:rPr>
        <w:t>Diversiteti i të mirave natyrore dhe kulturore në fushën e BNK-së është një parakusht kryesor për përcaktimin e një oferte turistike të synuar. Megjithatë, gjetjet tregojnë një mungesë të produkteve turistike konkurruese ndërkufitare gjatë gjithë vitit dhe një potencial të pashfrytëzuar turistik. Përveç ofertës së theksuar turistike sezonale, ende nuk ka një ndërveprim të zhvilluar të funksionit turistik përtej kufirit.</w:t>
      </w:r>
    </w:p>
    <w:p w:rsidR="005E251B" w:rsidRPr="001D50E3" w:rsidRDefault="005E251B" w:rsidP="00754C28">
      <w:pPr>
        <w:pBdr>
          <w:top w:val="single" w:sz="4" w:space="1" w:color="auto"/>
          <w:left w:val="single" w:sz="4" w:space="4" w:color="auto"/>
          <w:bottom w:val="single" w:sz="4" w:space="1" w:color="auto"/>
          <w:right w:val="single" w:sz="4" w:space="4" w:color="auto"/>
        </w:pBdr>
        <w:spacing w:line="276" w:lineRule="auto"/>
        <w:jc w:val="both"/>
        <w:rPr>
          <w:rFonts w:ascii="Arial" w:hAnsi="Arial" w:cs="Arial"/>
        </w:rPr>
      </w:pPr>
      <w:r w:rsidRPr="001D50E3">
        <w:rPr>
          <w:rFonts w:ascii="Arial" w:hAnsi="Arial" w:cs="Arial"/>
        </w:rPr>
        <w:t xml:space="preserve">Territori i programit nga ana bullgare i përket rajoneve turistike të Sofjes (të njohura për turizmin biznesor dhe kulturor) dhe Rila - Pirin (e njohur për turizmin malor dhe fetar). Një numër i madh i </w:t>
      </w:r>
      <w:r w:rsidRPr="001D50E3">
        <w:rPr>
          <w:rFonts w:ascii="Arial" w:hAnsi="Arial" w:cs="Arial"/>
        </w:rPr>
        <w:lastRenderedPageBreak/>
        <w:t>ujërave nëntokësore, burimeve, rrjedhave ujore sipërfaqësore dhe ujërave minerale janë të pranishëm në pjesën e zonës programore të Republikës së Maqedonisë së Veriut. Në përgjithësi, zona e bashkëpunimit ndërkufitar është një potencial i paçmuar për zhvillimin e turizmit dhe për ruajtjen e biodiversitetit të pasur me rëndësi kombëtare dhe panevropiane. Kalimi i territorit të rajonit për CBC është pjesë e rrugës diagonale të Korridorit Kulturor që lidh Evropën Juglindore me Azinë. Krahas këtyre faktorëve, duhet përmendur diversiteti i periudhave historike dhe vlerat përkatëse kulturore. Zona për bashkëpunim ndërkufitar nuk gëzon tendenca pozitive në përmirësimin e atraktivitetit turistik të rajonit - numri i qëndrimeve gjatë natës në zonë është nën mesataren e duhur kombëtare me përjashtim të zonës së Blagoevgradit e cila është shtëpia e dy qendrave të njohura turistike në të gjithë vendin. viti - Bansko (vendpushim ski dhe malor) dhe Sandanski (qendër spa).</w:t>
      </w:r>
    </w:p>
    <w:p w:rsidR="005E251B" w:rsidRPr="001D50E3" w:rsidRDefault="005E251B" w:rsidP="00754C28">
      <w:pPr>
        <w:pBdr>
          <w:top w:val="single" w:sz="4" w:space="1" w:color="auto"/>
          <w:left w:val="single" w:sz="4" w:space="4" w:color="auto"/>
          <w:bottom w:val="single" w:sz="4" w:space="1" w:color="auto"/>
          <w:right w:val="single" w:sz="4" w:space="4" w:color="auto"/>
        </w:pBdr>
        <w:spacing w:line="276" w:lineRule="auto"/>
        <w:jc w:val="both"/>
        <w:rPr>
          <w:rFonts w:ascii="Arial" w:hAnsi="Arial" w:cs="Arial"/>
        </w:rPr>
      </w:pPr>
      <w:r w:rsidRPr="001D50E3">
        <w:rPr>
          <w:rFonts w:ascii="Arial" w:hAnsi="Arial" w:cs="Arial"/>
        </w:rPr>
        <w:t>Pavarësisht faktorëve dhe parakushteve mundësuese, turizmi në rajon “njoh” dobësi të pakapërcyeshme: produkti turistik i pazhvilluar në tërësi, rrjeti i pazhvilluar i kompanive për shërbime dhe oferta në turizëm, staf i pamjaftueshëm i kualifikuar në fushën e shërbimeve turistike, gjendje e keqe dhe akses i kufizuar. . te objektet natyrore dhe kulturore-historike. Ndikimi i Covid-it në turizëm paraqet sfida shtesë. Së bashku me nevojën për të zhvilluar industritë lokale të orientuara nga turizmi për shkak të potencialit të pashfrytëzuar të turizmit, përpjekjet paralele shumëpalëshe dhe përgjigjet e politikave për të rindërtuar lidhjet e turizmit me palët e interesuara lokale, sektorët e tjerë ekonomikë dhe burimet natyrore dhe ekosistemet duhet të kuptohen strategjikisht dhe praktikisht. të integruara dhe të qëndrueshme mënyrë.</w:t>
      </w:r>
    </w:p>
    <w:p w:rsidR="005E251B" w:rsidRPr="001D50E3" w:rsidRDefault="005E251B" w:rsidP="00754C28">
      <w:pPr>
        <w:pBdr>
          <w:top w:val="single" w:sz="4" w:space="1" w:color="auto"/>
          <w:left w:val="single" w:sz="4" w:space="4" w:color="auto"/>
          <w:bottom w:val="single" w:sz="4" w:space="1" w:color="auto"/>
          <w:right w:val="single" w:sz="4" w:space="4" w:color="auto"/>
        </w:pBdr>
        <w:spacing w:line="276" w:lineRule="auto"/>
        <w:jc w:val="both"/>
        <w:rPr>
          <w:rFonts w:ascii="Arial" w:hAnsi="Arial" w:cs="Arial"/>
        </w:rPr>
      </w:pPr>
    </w:p>
    <w:p w:rsidR="005E251B" w:rsidRPr="001D50E3" w:rsidRDefault="005E251B" w:rsidP="00754C28">
      <w:pPr>
        <w:spacing w:line="276" w:lineRule="auto"/>
        <w:rPr>
          <w:rFonts w:ascii="Arial" w:hAnsi="Arial" w:cs="Arial"/>
        </w:rPr>
      </w:pPr>
    </w:p>
    <w:p w:rsidR="000E010F" w:rsidRPr="001D50E3" w:rsidRDefault="005E251B" w:rsidP="00754C28">
      <w:pPr>
        <w:spacing w:line="276" w:lineRule="auto"/>
        <w:jc w:val="both"/>
        <w:rPr>
          <w:rFonts w:ascii="Arial" w:hAnsi="Arial" w:cs="Arial"/>
        </w:rPr>
      </w:pPr>
      <w:r w:rsidRPr="001D50E3">
        <w:rPr>
          <w:rFonts w:ascii="Arial" w:hAnsi="Arial" w:cs="Arial"/>
        </w:rPr>
        <w:t>1.8 Mungesa e praktikave dhe shërbimeve të bazuara në ekosistem për trajtimin e rreziqeve natyrore dhe humbjes së biodiversitetit</w:t>
      </w:r>
    </w:p>
    <w:p w:rsidR="005E251B" w:rsidRPr="001D50E3" w:rsidRDefault="005E251B" w:rsidP="00754C28">
      <w:pPr>
        <w:spacing w:line="276" w:lineRule="auto"/>
        <w:jc w:val="both"/>
        <w:rPr>
          <w:rFonts w:ascii="Arial" w:hAnsi="Arial" w:cs="Arial"/>
        </w:rPr>
      </w:pPr>
    </w:p>
    <w:p w:rsidR="005E251B" w:rsidRPr="001D50E3" w:rsidRDefault="005E251B" w:rsidP="00754C28">
      <w:pPr>
        <w:spacing w:line="276" w:lineRule="auto"/>
        <w:jc w:val="both"/>
        <w:rPr>
          <w:rFonts w:ascii="Arial" w:hAnsi="Arial" w:cs="Arial"/>
        </w:rPr>
      </w:pPr>
      <w:r w:rsidRPr="001D50E3">
        <w:rPr>
          <w:rFonts w:ascii="Arial" w:hAnsi="Arial" w:cs="Arial"/>
        </w:rPr>
        <w:t>Dimensionet ekologjike të kohezionit territorial përgjithësisht kuptohen dobët dhe duhet të vendosen në një bazë të barabartë me elementët ekonomikë dhe socialë të konceptit. Lidhja midis biodiversitetit dhe ofrimit të shërbimeve të ekosistemit nuk është vendosur ende në zonën e CAP, pavarësisht nga numri i madh i zonave natyrore që gëzojnë statuse të ndryshme ruajtjeje kombëtare dhe ndërkombëtare. Analiza territoriale rendit si problemet më të mëdha mjedisore në rajonin kufitar ndotjen e lumenjve, përmbytjet, rrëshqitjet e dheut dhe zjarret. Ka pjesë të lumenjve shumë të ndotura, veçanërisht në pellgun ujëmbledhës të Strumës dhe Bregalnicës, Strumicë dhe një pjesë të lumit Vardar, të cilat kryesisht burojnë nga rrjedha e drejtpërdrejtë e ujërave të zeza nga industria (dhe minierat) dhe amvisëritë, depozitat e minierave dhe përdorimi i pesticideve dhe i pesticideve dhe plehrat ne bujqesi..</w:t>
      </w:r>
    </w:p>
    <w:p w:rsidR="005E251B" w:rsidRPr="001D50E3" w:rsidRDefault="005E251B" w:rsidP="00754C28">
      <w:pPr>
        <w:spacing w:line="276" w:lineRule="auto"/>
        <w:jc w:val="both"/>
        <w:rPr>
          <w:rFonts w:ascii="Arial" w:hAnsi="Arial" w:cs="Arial"/>
        </w:rPr>
      </w:pPr>
      <w:r w:rsidRPr="001D50E3">
        <w:rPr>
          <w:rFonts w:ascii="Arial" w:hAnsi="Arial" w:cs="Arial"/>
        </w:rPr>
        <w:t xml:space="preserve">Shërbimet e ekosistemit kanë një ndikim të fortë në mënyrën se si trajtohen rreziqet natyrore. Duke qenë se infrastruktura mjedisore në zonën e CAP vlerësohet përgjithësisht si e pazhvilluar, mungesa e praktikave dhe shërbimeve të bazuara në ekosistem për të adresuar sfida të ndryshme mjedisore minon përpjekjet për të adresuar çështjet e ndryshimeve klimatike. Analizat, vlerësimet dhe skenarët e ndryshëm nga institucionet dhe ekspertët kombëtarë dhe ndërkombëtarë e vendosin Republikën e Bullgarisë dhe Republikën e Maqedonisë Veriore në mesin e vendeve me rrezik më të lartë nga ndryshimet klimatike. Faktorët që pritet të kenë një </w:t>
      </w:r>
      <w:r w:rsidRPr="001D50E3">
        <w:rPr>
          <w:rFonts w:ascii="Arial" w:hAnsi="Arial" w:cs="Arial"/>
        </w:rPr>
        <w:lastRenderedPageBreak/>
        <w:t>ndikim negativ në shëndetin e njeriut, mjedisin, biodiversitetin dhe rritjen ekonomike përfshijnë: (1) përmbytjet e shpeshta, (2) stuhitë e forta konvektive, të cilat kanë shkaktuar dëme të rënda materiale dhe viktima në shumë rajone të Republikës së Bullgarisë, (3) thatësira të rënda; (4) rrëshqitjet e dheut; (5) rritje e shpeshtësisë së zjarreve në pyje për shkak të pyllëzimit të pamjaftueshëm, vetëndezjes së barit të thatë pranë pyjeve, trajtimit të pakujdesshëm të zjarrit, djegies së pakontrolluar të mbeturinave shtëpiake; (6) rrezik relativisht i lartë sizmik.</w:t>
      </w:r>
    </w:p>
    <w:p w:rsidR="005E251B" w:rsidRPr="001D50E3" w:rsidRDefault="005E251B" w:rsidP="00754C28">
      <w:pPr>
        <w:spacing w:line="276" w:lineRule="auto"/>
        <w:jc w:val="both"/>
        <w:rPr>
          <w:rFonts w:ascii="Arial" w:hAnsi="Arial" w:cs="Arial"/>
        </w:rPr>
      </w:pPr>
      <w:r w:rsidRPr="001D50E3">
        <w:rPr>
          <w:rFonts w:ascii="Arial" w:hAnsi="Arial" w:cs="Arial"/>
        </w:rPr>
        <w:t xml:space="preserve">Integriteti i pothuajse të gjitha ekosistemeve natyrore në zonën e RAC është aktualisht nën kërcënim, pjesërisht për shkak të ndryshimeve të vazhdueshme klimatike, por edhe për shkak të presioneve antropogjene, duke rezultuar në degradimin e habitatit dhe një kërcënim në rritje të zjarreve në pyje. Humbja e biodiversitetit vazhdon dhe popullatat e disa specieve të rralla vazhdojnë të bien si numër. Qasjet dhe strategjitë e menaxhimit të aplikuara aktualisht nuk sigurojnë ruajtjen efektive të biodiversitetit. Rrjeti aktual kombëtar i zonave të mbrojtura, i cili është pjesë e zonës së KRZ-së, nuk ofron vazhdimësi dhe lidhje mjedisore, pasi ende mungojnë korridoret </w:t>
      </w:r>
      <w:r w:rsidR="003511DF" w:rsidRPr="001D50E3">
        <w:rPr>
          <w:rFonts w:ascii="Arial" w:hAnsi="Arial" w:cs="Arial"/>
        </w:rPr>
        <w:t xml:space="preserve">ekonomike </w:t>
      </w:r>
      <w:r w:rsidRPr="001D50E3">
        <w:rPr>
          <w:rFonts w:ascii="Arial" w:hAnsi="Arial" w:cs="Arial"/>
        </w:rPr>
        <w:t>lidhëse mjedisore.</w:t>
      </w:r>
    </w:p>
    <w:p w:rsidR="003511DF" w:rsidRPr="001D50E3" w:rsidRDefault="003511DF" w:rsidP="00754C28">
      <w:pPr>
        <w:spacing w:line="276" w:lineRule="auto"/>
        <w:jc w:val="both"/>
        <w:rPr>
          <w:rFonts w:ascii="Arial" w:hAnsi="Arial" w:cs="Arial"/>
        </w:rPr>
      </w:pPr>
      <w:r w:rsidRPr="001D50E3">
        <w:rPr>
          <w:rFonts w:ascii="Arial" w:hAnsi="Arial" w:cs="Arial"/>
        </w:rPr>
        <w:t>1.9 Gatishmëria e kufizuar për tranzicion të gjelbër</w:t>
      </w:r>
    </w:p>
    <w:p w:rsidR="003511DF" w:rsidRPr="001D50E3" w:rsidRDefault="003511DF" w:rsidP="00754C28">
      <w:pPr>
        <w:spacing w:line="276" w:lineRule="auto"/>
        <w:jc w:val="both"/>
        <w:rPr>
          <w:rFonts w:ascii="Arial" w:hAnsi="Arial" w:cs="Arial"/>
        </w:rPr>
      </w:pPr>
      <w:r w:rsidRPr="001D50E3">
        <w:rPr>
          <w:rFonts w:ascii="Arial" w:hAnsi="Arial" w:cs="Arial"/>
        </w:rPr>
        <w:t>Të dyja ekonomitë kombëtare janë shumë intensive për energji. Ekonomia e Republikës së Maqedonisë Veriore karakterizohet nga joefikasiteti në sistemin e vjetëruar për prodhimin e energjisë, varësia e vazhdueshme e lartë nga qymyri dhe konsumi joefikas i energjisë. Vendi është në fazat e hershme të krijimit të skenës për arritjen e shumë prej synimeve të përcaktuara në Rishikimin e Performancës Mjedisore të OECD. Sipas edicionit të tij të vitit 2019, janë zbatuar masa zbutëse në sektorin e energjisë, duke filluar nga futja e kontrolleve të energjisë, deri te subvencionet për masat e efiçiencës së energjisë në familje. Për shkak të për</w:t>
      </w:r>
      <w:r w:rsidR="00597CB8" w:rsidRPr="001D50E3">
        <w:rPr>
          <w:rFonts w:ascii="Arial" w:hAnsi="Arial" w:cs="Arial"/>
        </w:rPr>
        <w:t xml:space="preserve">dorimit mbizotërues </w:t>
      </w:r>
      <w:r w:rsidRPr="001D50E3">
        <w:rPr>
          <w:rFonts w:ascii="Arial" w:hAnsi="Arial" w:cs="Arial"/>
        </w:rPr>
        <w:t>vendas për prodhimin e energjisë elektrike, vendi ka potencial për të reduktuar emetimet e gazeve serrë (GHG). Depozitimi i mbetjeve të ngurta është deri tani kontribuuesi më i madh në EKG në sektorin e mbetjeve, i cili është gjithashtu kategoria me rritje më të madhe për sa i përket emetimeve së bashku me EKG-të shumë të larta të lidhura me transportin, të cilat përbëjnë 15% të emetimeve totale të vendit. Që nga viti 2008, vendi ka bërë pak përparim në zhvillimin e infrastrukturës së menaxhimit të mbetjeve. Deponitë komunale ekzistuese nuk plotësojnë as kërkesat elementare për asgjësim të sigurt të mbetjeve. Pavarësisht zhvillimeve në ngritjen e sistemeve rajonale të menaxhimit të mbetjeve dhe progresit në punën përgatitore, asnjë nga landfillet rajonale nuk është përfunduar.</w:t>
      </w:r>
    </w:p>
    <w:p w:rsidR="003511DF" w:rsidRPr="001D50E3" w:rsidRDefault="003511DF" w:rsidP="00754C28">
      <w:pPr>
        <w:spacing w:line="276" w:lineRule="auto"/>
        <w:jc w:val="both"/>
        <w:rPr>
          <w:rFonts w:ascii="Arial" w:hAnsi="Arial" w:cs="Arial"/>
        </w:rPr>
      </w:pPr>
      <w:r w:rsidRPr="001D50E3">
        <w:rPr>
          <w:rFonts w:ascii="Arial" w:hAnsi="Arial" w:cs="Arial"/>
        </w:rPr>
        <w:t>Republika e Bullgarisë mbetet ekonomia me energji më intensive në BE me një kufi të gjerë. Në vitin 2017, Republika e Bullgarisë kishte nevojë për 3.8 herë më shumë energji dhe prodhoi 4.4 herë më shumë emetim karboni për njësi të PBB-së sesa mesatarja e BE-së. Megjithatë, vendi është ende në rrugën e duhur për të arritur objektivat e tij për EKG dhe energjinë e rinovueshme. Ai nuk po përparon drejt objektivave të tij tregues të efiçencës së energjisë dhe hendeku midis niveleve aktuale dhe atyre të synuara të konsumit të energjisë po zgjerohet.</w:t>
      </w:r>
    </w:p>
    <w:p w:rsidR="003511DF" w:rsidRPr="001D50E3" w:rsidRDefault="003511DF" w:rsidP="00754C28">
      <w:pPr>
        <w:spacing w:line="276" w:lineRule="auto"/>
        <w:jc w:val="both"/>
        <w:rPr>
          <w:rFonts w:ascii="Arial" w:hAnsi="Arial" w:cs="Arial"/>
        </w:rPr>
      </w:pPr>
      <w:r w:rsidRPr="001D50E3">
        <w:rPr>
          <w:rFonts w:ascii="Arial" w:hAnsi="Arial" w:cs="Arial"/>
        </w:rPr>
        <w:t>Ka sfida serioze sociale që lidhen me procesin e transformimit efektiv të energjisë, të tilla si humbja e vendeve të punës dhe rënia e standardeve të cilësisë së jetës. Mbyllja e termocentraleve dhe minierave të qymyrit do të ndikojë negativisht në një numër të konsiderueshëm punëtorësh, gjë që do të sjellë nevoja serioze për rikualifikim dhe hapje të vendeve të punës. Përqendrimi i shumicës dërrmuese të prodhimit të qymyrit në vetëm disa zona, siç është zona CST e Kyustendil, ka të ngjarë të çojë në dallime të rëndësishme socio-</w:t>
      </w:r>
      <w:r w:rsidRPr="001D50E3">
        <w:rPr>
          <w:rFonts w:ascii="Arial" w:hAnsi="Arial" w:cs="Arial"/>
        </w:rPr>
        <w:lastRenderedPageBreak/>
        <w:t xml:space="preserve">ekonomike dhe territoriale. Alternativat e energjisë dhe të punës për ata që janë të punësuar drejtpërdrejt në industrinë e qymyrit nuk ka gjasa të gjenden në </w:t>
      </w:r>
    </w:p>
    <w:p w:rsidR="003511DF" w:rsidRPr="001D50E3" w:rsidRDefault="003511DF" w:rsidP="00754C28">
      <w:pPr>
        <w:spacing w:line="276" w:lineRule="auto"/>
        <w:jc w:val="both"/>
        <w:rPr>
          <w:rFonts w:ascii="Arial" w:hAnsi="Arial" w:cs="Arial"/>
        </w:rPr>
      </w:pPr>
      <w:r w:rsidRPr="001D50E3">
        <w:rPr>
          <w:rFonts w:ascii="Arial" w:hAnsi="Arial" w:cs="Arial"/>
        </w:rPr>
        <w:t>të njëjtat zona. Kjo do të kërkonte investime të konsiderueshme në rikualifikimin e fuqisë punëtore, si dhe mbështetje sektoriale dhe gjeografike të lëvizshmërisë për të reduktuar humbjet neto të vendeve të punës. Ai do të ketë gjithashtu një efekt të rëndësishëm në punët indirekte (p.sh. furnitorët, ofruesit e ushqimit, ofruesit e shërbimeve) dhe familjet e fuqisë punëtore të prekur.</w:t>
      </w:r>
    </w:p>
    <w:p w:rsidR="003511DF" w:rsidRPr="001D50E3" w:rsidRDefault="003511DF" w:rsidP="00754C28">
      <w:pPr>
        <w:spacing w:line="276" w:lineRule="auto"/>
        <w:jc w:val="both"/>
        <w:rPr>
          <w:rFonts w:ascii="Arial" w:hAnsi="Arial" w:cs="Arial"/>
        </w:rPr>
      </w:pPr>
      <w:r w:rsidRPr="001D50E3">
        <w:rPr>
          <w:rFonts w:ascii="Arial" w:hAnsi="Arial" w:cs="Arial"/>
        </w:rPr>
        <w:t>Megjithëse në Republikën e Bullgarisë janë ndërmarrë aktivitete politike për të promovuar një tranzicion të gjelbër, vendi vazhdon të mbetet prapa BE-së në të gjithë komponentët e ekonomisë rrethore. Shkalla e produktivitetit të burimeve të [Republikës së Maqedonisë së Veriut] është gjithashtu shumë nën mesataren e BE28. Të dy vendet nuk kanë një strategji të ekonomisë rrethore. Republika e Maqedonisë së Veriut nuk mbledh as të dhëna për riciklimin dhe përdorimin rrethor të materialeve dhe kjo tregon se këto praktika janë të pazhvilluara. Prandaj, ka një thirrje urgjente për të dy vendet për t'iu përgjigjur sfidës së promovimit dhe mbështetjes më aktive të parimeve të ekonomisë qarkore dhe praktikave të lidhura me prodhimin.</w:t>
      </w:r>
    </w:p>
    <w:p w:rsidR="003511DF" w:rsidRPr="001D50E3" w:rsidRDefault="003511DF" w:rsidP="00754C28">
      <w:pPr>
        <w:spacing w:line="276" w:lineRule="auto"/>
        <w:jc w:val="both"/>
        <w:rPr>
          <w:rFonts w:ascii="Arial" w:hAnsi="Arial" w:cs="Arial"/>
        </w:rPr>
      </w:pPr>
      <w:r w:rsidRPr="001D50E3">
        <w:rPr>
          <w:rFonts w:ascii="Arial" w:hAnsi="Arial" w:cs="Arial"/>
        </w:rPr>
        <w:t>1.10 Lidhje e kufizuar ndërkufitare dhe lëvizshmëri ndërrajonale</w:t>
      </w:r>
    </w:p>
    <w:p w:rsidR="003511DF" w:rsidRPr="001D50E3" w:rsidRDefault="003511DF" w:rsidP="00754C28">
      <w:pPr>
        <w:spacing w:line="276" w:lineRule="auto"/>
        <w:jc w:val="both"/>
        <w:rPr>
          <w:rFonts w:ascii="Arial" w:hAnsi="Arial" w:cs="Arial"/>
        </w:rPr>
      </w:pPr>
      <w:r w:rsidRPr="001D50E3">
        <w:rPr>
          <w:rFonts w:ascii="Arial" w:hAnsi="Arial" w:cs="Arial"/>
        </w:rPr>
        <w:t>Raporti i Komisionit për Bullgarinë si vend për vitin 2020 thekson nevojën që vendi të ndërtojë një infrastrukturë të sigurt, të qëndrueshme dhe elastike, duke përfshirë infrastrukturën rajonale dhe ndërkufitare. Raporti thekson lidhjen me vendet fqinje si një sfidë kryesore. Zbatimi i politikës së rrjetit trans-evropian të transportit për ndërtimin e infrastrukturës rrugore dhe hekurudhore dhe lidhjet me Ballkanin Perëndimor do t'i mundësojë Bullgarisë të përfitojë nga të qenit një vend tranzit në korridorin e ardhshëm hekurudhor të mallrave Alpin-Ballkanin Perëndimor. Është ende prioritet zhvillimi i korridoreve Orient/Lindje-Mesdhe, si dhe lidhjet me Ballkanin Perëndimor. Prandaj, projektet që synojnë zgjerimin e aksesit në rrjetin kryesor TEM-T duhet të trajtohen me prioritet të lartë.</w:t>
      </w:r>
    </w:p>
    <w:p w:rsidR="003511DF" w:rsidRPr="001D50E3" w:rsidRDefault="003511DF" w:rsidP="00754C28">
      <w:pPr>
        <w:spacing w:line="276" w:lineRule="auto"/>
        <w:jc w:val="both"/>
        <w:rPr>
          <w:rFonts w:ascii="Arial" w:hAnsi="Arial" w:cs="Arial"/>
        </w:rPr>
      </w:pPr>
      <w:r w:rsidRPr="001D50E3">
        <w:rPr>
          <w:rFonts w:ascii="Arial" w:hAnsi="Arial" w:cs="Arial"/>
        </w:rPr>
        <w:t>Mungesa e lidhjeve hekurudhore, rrugore dhe/ose autostrade ndërmjet dy vendeve, rritja e trafikut ndërkufitar dhe perspektiva e zgjerimit të aksesit në rrjetin kryesor të rrjetit të transportit trans-evropian - TEN-T (TEN-T) rezultojnë në të pamjaftueshme mundësitë për kalimin e kufirit dhe komplikojnë ngarkesën dhe transportin e udhëtarëve. Ekzistojnë vetëm 3 pika kufitare operacionale përgjatë kufirit, që i shërbejnë një popullsie prej rreth 1 milion banorësh. Të gjitha këto hallka që mungojnë, si dhe potenciali i pashfrytëzuar për lëvizshmëri në intervalin e lidhjes, kanë nxitur nevojën për të përmirësuar aksesin në kufi dhe TEM-T, duke marrë parasysh perspektivat për zgjerimin e përshpejtuar të BE-së.</w:t>
      </w:r>
    </w:p>
    <w:p w:rsidR="003511DF" w:rsidRPr="001D50E3" w:rsidRDefault="003511DF" w:rsidP="00754C28">
      <w:pPr>
        <w:spacing w:line="276" w:lineRule="auto"/>
        <w:jc w:val="both"/>
        <w:rPr>
          <w:rFonts w:ascii="Arial" w:hAnsi="Arial" w:cs="Arial"/>
        </w:rPr>
      </w:pPr>
      <w:r w:rsidRPr="001D50E3">
        <w:rPr>
          <w:rFonts w:ascii="Arial" w:hAnsi="Arial" w:cs="Arial"/>
        </w:rPr>
        <w:t>Përsa i përket lëvizshmërisë ndërrajonale, rrugët në zonat malore janë vazhdimisht në gjendje të keqe dhe pengojnë ndërlidhjen, duke reduktuar kështu lëvizshmërinë. Qasja e vështirë e transportit në rajonet periferike më pak të zhvilluara çon në mungesë të aktivitetit ekonomik efektiv, nivele të larta të papunësisë, shpopullim të vendbanimeve dhe ofrim të pamjaftueshëm të shërbimeve publike. Kjo “redukton” komunikimet në territor në një perimetër më të vogël dhe kufizon mundësitë për zhvillim. Prandaj, lidhjet dhe shërbimet ndërmjet zonave urbane dhe të largëta/rurale duhet të forcohen për të ndërtuar një territor të drejtë, gjithëpërfshirës dhe potencialisht koherent CBC.</w:t>
      </w:r>
    </w:p>
    <w:p w:rsidR="003511DF" w:rsidRPr="001D50E3" w:rsidRDefault="003511DF" w:rsidP="00754C28">
      <w:pPr>
        <w:spacing w:line="276" w:lineRule="auto"/>
        <w:jc w:val="both"/>
        <w:rPr>
          <w:rFonts w:ascii="Arial" w:hAnsi="Arial" w:cs="Arial"/>
        </w:rPr>
      </w:pPr>
      <w:r w:rsidRPr="001D50E3">
        <w:rPr>
          <w:rFonts w:ascii="Arial" w:hAnsi="Arial" w:cs="Arial"/>
        </w:rPr>
        <w:lastRenderedPageBreak/>
        <w:t>Një nga pistat evropiane të çiklizmit, përkatësisht shtegu EuroVelo 13 Trail Iron Curtain Trail, shtrihet në rajonin CBC. Linjat e EuroVelo kanë një qëllim turistik, pra nuk lidhin qytetet e mëdha, por lehtësojnë lëvizshmërinë turistike, gjë që ndikon në rritjen e përgjithshme ekonomike të rajonit kufitar. Megjithatë, asnjë nga segmentet e korridorit EuroVelo që kalon nëpër Republikën e Maqedonisë së Veriut dhe Republikën e Bullgarisë nuk është i zhvilluar ose së paku i shënuar.</w:t>
      </w:r>
    </w:p>
    <w:p w:rsidR="003511DF" w:rsidRPr="001D50E3" w:rsidRDefault="003511DF" w:rsidP="00754C28">
      <w:pPr>
        <w:spacing w:line="276" w:lineRule="auto"/>
        <w:jc w:val="both"/>
        <w:rPr>
          <w:rFonts w:ascii="Arial" w:hAnsi="Arial" w:cs="Arial"/>
        </w:rPr>
      </w:pPr>
      <w:r w:rsidRPr="001D50E3">
        <w:rPr>
          <w:rFonts w:ascii="Arial" w:hAnsi="Arial" w:cs="Arial"/>
        </w:rPr>
        <w:t>6 Komisioni Evropian (2019b), Punësimi dhe Zhvillimet Sociale në Evropë 2019, korrik 2019.</w:t>
      </w:r>
    </w:p>
    <w:p w:rsidR="003511DF" w:rsidRPr="001D50E3" w:rsidRDefault="003511DF" w:rsidP="00754C28">
      <w:pPr>
        <w:spacing w:line="276" w:lineRule="auto"/>
        <w:jc w:val="both"/>
        <w:rPr>
          <w:rFonts w:ascii="Arial" w:hAnsi="Arial" w:cs="Arial"/>
        </w:rPr>
      </w:pPr>
      <w:r w:rsidRPr="001D50E3">
        <w:rPr>
          <w:rFonts w:ascii="Arial" w:hAnsi="Arial" w:cs="Arial"/>
        </w:rPr>
        <w:t xml:space="preserve"> 7  </w:t>
      </w:r>
      <w:hyperlink r:id="rId10" w:history="1">
        <w:r w:rsidRPr="001D50E3">
          <w:rPr>
            <w:rStyle w:val="Hyperlink"/>
            <w:rFonts w:ascii="Arial" w:hAnsi="Arial" w:cs="Arial"/>
          </w:rPr>
          <w:t>https://ec.europa.eu/eurostat/web/circular-economy/indicators/main-tables</w:t>
        </w:r>
      </w:hyperlink>
    </w:p>
    <w:p w:rsidR="00480AFA" w:rsidRPr="001D50E3" w:rsidRDefault="00480AFA" w:rsidP="00754C28">
      <w:pPr>
        <w:spacing w:line="276" w:lineRule="auto"/>
        <w:jc w:val="both"/>
        <w:rPr>
          <w:rFonts w:ascii="Arial" w:hAnsi="Arial" w:cs="Arial"/>
        </w:rPr>
      </w:pPr>
      <w:r w:rsidRPr="001D50E3">
        <w:rPr>
          <w:rFonts w:ascii="Arial" w:hAnsi="Arial" w:cs="Arial"/>
        </w:rPr>
        <w:t>Sfidat e zakonshme me pak fjalë</w:t>
      </w:r>
    </w:p>
    <w:p w:rsidR="00480AFA" w:rsidRPr="001D50E3" w:rsidRDefault="00480AFA" w:rsidP="00754C28">
      <w:pPr>
        <w:spacing w:line="276" w:lineRule="auto"/>
        <w:jc w:val="both"/>
        <w:rPr>
          <w:rFonts w:ascii="Arial" w:hAnsi="Arial" w:cs="Arial"/>
        </w:rPr>
      </w:pPr>
      <w:r w:rsidRPr="001D50E3">
        <w:rPr>
          <w:rFonts w:ascii="Arial" w:hAnsi="Arial" w:cs="Arial"/>
        </w:rPr>
        <w:t>- Skema e mëposhtme e divergjencës territoriale në fushën e BNK mund të shprehet: tendencë për pikë më të larta për dimensionin e efikasitetit (GDP, GDP, eksporte), por pikë më të ulëta për dimensionin bazë (infrastrukturë, shë</w:t>
      </w:r>
      <w:r w:rsidR="00597CB8" w:rsidRPr="001D50E3">
        <w:rPr>
          <w:rFonts w:ascii="Arial" w:hAnsi="Arial" w:cs="Arial"/>
        </w:rPr>
        <w:t xml:space="preserve">ndetësi dhe arsim), dimensioni </w:t>
      </w:r>
      <w:r w:rsidRPr="001D50E3">
        <w:rPr>
          <w:rFonts w:ascii="Arial" w:hAnsi="Arial" w:cs="Arial"/>
        </w:rPr>
        <w:t>e inovacionit (gatishmëria dixhitale, dinamika e biznesit dhe inovacioni), dimensioni mjedisor dhe lidhshmëria.</w:t>
      </w:r>
    </w:p>
    <w:p w:rsidR="00480AFA" w:rsidRPr="001D50E3" w:rsidRDefault="00480AFA" w:rsidP="00754C28">
      <w:pPr>
        <w:spacing w:line="276" w:lineRule="auto"/>
        <w:jc w:val="both"/>
        <w:rPr>
          <w:rFonts w:ascii="Arial" w:hAnsi="Arial" w:cs="Arial"/>
        </w:rPr>
      </w:pPr>
      <w:r w:rsidRPr="001D50E3">
        <w:rPr>
          <w:rFonts w:ascii="Arial" w:hAnsi="Arial" w:cs="Arial"/>
        </w:rPr>
        <w:t>- Nëse trendet aktuale demografike dhe arsimore vazhdojnë, atëherë do të ketë mospërputhje në rritje, me më pak punë me kualifikim të ulët që do t'u ofrohen një numri në rritje punëtorësh me kualifikim të ulët dhe kandidatëve më pak të aftë për të përmbushur kërkesën në rritje për fuqi punëtore me aftësi të lartë;</w:t>
      </w:r>
    </w:p>
    <w:p w:rsidR="00480AFA" w:rsidRPr="001D50E3" w:rsidRDefault="00480AFA" w:rsidP="00754C28">
      <w:pPr>
        <w:spacing w:line="276" w:lineRule="auto"/>
        <w:jc w:val="both"/>
        <w:rPr>
          <w:rFonts w:ascii="Arial" w:hAnsi="Arial" w:cs="Arial"/>
        </w:rPr>
      </w:pPr>
      <w:r w:rsidRPr="001D50E3">
        <w:rPr>
          <w:rFonts w:ascii="Arial" w:hAnsi="Arial" w:cs="Arial"/>
        </w:rPr>
        <w:t>- Përmbajtja e orëve me zgjedhje, aktivitetet jashtëshkollore dhe nevojat për arsimin e të rriturve janë të lidhura ngushtë me nevojat e treg</w:t>
      </w:r>
      <w:r w:rsidR="00326128" w:rsidRPr="001D50E3">
        <w:rPr>
          <w:rFonts w:ascii="Arial" w:hAnsi="Arial" w:cs="Arial"/>
        </w:rPr>
        <w:t xml:space="preserve">ut të punës për t'iu përgjigjur edhe </w:t>
      </w:r>
      <w:r w:rsidRPr="001D50E3">
        <w:rPr>
          <w:rFonts w:ascii="Arial" w:hAnsi="Arial" w:cs="Arial"/>
        </w:rPr>
        <w:t>reduktimi i sfidës së fuqisë punëtore dhe rritja e mospërputhjes së tregut të punës;</w:t>
      </w:r>
    </w:p>
    <w:p w:rsidR="00480AFA" w:rsidRPr="001D50E3" w:rsidRDefault="00480AFA" w:rsidP="00754C28">
      <w:pPr>
        <w:spacing w:line="276" w:lineRule="auto"/>
        <w:jc w:val="both"/>
        <w:rPr>
          <w:rFonts w:ascii="Arial" w:hAnsi="Arial" w:cs="Arial"/>
        </w:rPr>
      </w:pPr>
      <w:r w:rsidRPr="001D50E3">
        <w:rPr>
          <w:rFonts w:ascii="Arial" w:hAnsi="Arial" w:cs="Arial"/>
        </w:rPr>
        <w:t>- Hendeku social dhe ekonomik ndërmjet personave të pafavorizuar socio-ekonomik dhe personave të pafavorizuar (duke përfshirë edhe shpërndarjen e të ardhurave) po rritet në Republikën e Bullgarisë, ndërsa trendi i kundërt vërehet në Republikën e Maqedonisë së Veriut, ku hendeku i të ard</w:t>
      </w:r>
      <w:r w:rsidR="00597CB8" w:rsidRPr="001D50E3">
        <w:rPr>
          <w:rFonts w:ascii="Arial" w:hAnsi="Arial" w:cs="Arial"/>
        </w:rPr>
        <w:t xml:space="preserve">hurave dhe relativisht i lartë </w:t>
      </w:r>
      <w:r w:rsidRPr="001D50E3">
        <w:rPr>
          <w:rFonts w:ascii="Arial" w:hAnsi="Arial" w:cs="Arial"/>
        </w:rPr>
        <w:t>rreziku i varfërisë dhe Përfshirja sociale mbetet një sfidë që duhet kapërcyer në të dy vendet;</w:t>
      </w:r>
    </w:p>
    <w:p w:rsidR="00480AFA" w:rsidRPr="001D50E3" w:rsidRDefault="00480AFA" w:rsidP="00754C28">
      <w:pPr>
        <w:spacing w:line="276" w:lineRule="auto"/>
        <w:jc w:val="both"/>
        <w:rPr>
          <w:rFonts w:ascii="Arial" w:hAnsi="Arial" w:cs="Arial"/>
        </w:rPr>
      </w:pPr>
      <w:r w:rsidRPr="001D50E3">
        <w:rPr>
          <w:rFonts w:ascii="Arial" w:hAnsi="Arial" w:cs="Arial"/>
        </w:rPr>
        <w:t>- Nevojiten më shumë stimuj ekonomikë për të trajtuar papunësinë, veçanërisht tek të rinjtë;</w:t>
      </w:r>
    </w:p>
    <w:p w:rsidR="00480AFA" w:rsidRPr="001D50E3" w:rsidRDefault="00480AFA" w:rsidP="00754C28">
      <w:pPr>
        <w:spacing w:line="276" w:lineRule="auto"/>
        <w:jc w:val="both"/>
        <w:rPr>
          <w:rFonts w:ascii="Arial" w:hAnsi="Arial" w:cs="Arial"/>
        </w:rPr>
      </w:pPr>
      <w:r w:rsidRPr="001D50E3">
        <w:rPr>
          <w:rFonts w:ascii="Arial" w:hAnsi="Arial" w:cs="Arial"/>
        </w:rPr>
        <w:t>- Grupet e cenueshme dhe të pafavorizuara të njerëzve vazhdojnë të kenë akses të kufizuar në shërbimet e interesit të përgjithshëm, ndaj duhen vendosur masa të integruara për të përmirësuar cilësinë e shërbimeve dhe përfshirjen aktive ekonomike të njerëzve vulnerabël me prioritet dhe nga një perspektivë TIK që do të ofrojë më shumë zgjidhje dixhitale. .</w:t>
      </w:r>
    </w:p>
    <w:p w:rsidR="00480AFA" w:rsidRPr="001D50E3" w:rsidRDefault="00480AFA" w:rsidP="00754C28">
      <w:pPr>
        <w:spacing w:line="276" w:lineRule="auto"/>
        <w:jc w:val="both"/>
        <w:rPr>
          <w:rFonts w:ascii="Arial" w:hAnsi="Arial" w:cs="Arial"/>
        </w:rPr>
      </w:pPr>
      <w:r w:rsidRPr="001D50E3">
        <w:rPr>
          <w:rFonts w:ascii="Arial" w:hAnsi="Arial" w:cs="Arial"/>
        </w:rPr>
        <w:t>- Miratimi i TIK-ut mbetet një nga variablat mbi të cilin të dyja vendet kanë një punë relativisht të mirë, por në një mjedis më pak të transformuar dixhitalisht - gjë që hap hapësirë ​​për zhvillimin e zgjidhjeve më dixhitale në fusha të ndryshme politikash.</w:t>
      </w:r>
    </w:p>
    <w:p w:rsidR="00480AFA" w:rsidRPr="001D50E3" w:rsidRDefault="00480AFA" w:rsidP="00754C28">
      <w:pPr>
        <w:spacing w:line="276" w:lineRule="auto"/>
        <w:jc w:val="both"/>
        <w:rPr>
          <w:rFonts w:ascii="Arial" w:hAnsi="Arial" w:cs="Arial"/>
        </w:rPr>
      </w:pPr>
      <w:r w:rsidRPr="001D50E3">
        <w:rPr>
          <w:rFonts w:ascii="Arial" w:hAnsi="Arial" w:cs="Arial"/>
        </w:rPr>
        <w:t>- Sfidat kryesore për zonën ndërkufitare qëndrojnë në përmirësimin e fuqisë së saj punëtore, inkurajimin e ndërmarrjeve të vogla dhe të mesme për të investuar në inovacion, nxitjen e rritjes sipërmarrëse dhe investimet publike dhe private në kërkimin dhe zhvillimin, dhe forcimin e lidhjeve shkencë-bizn</w:t>
      </w:r>
      <w:r w:rsidR="00597CB8" w:rsidRPr="001D50E3">
        <w:rPr>
          <w:rFonts w:ascii="Arial" w:hAnsi="Arial" w:cs="Arial"/>
        </w:rPr>
        <w:t xml:space="preserve">es për të mbështetur njohuritë </w:t>
      </w:r>
      <w:r w:rsidRPr="001D50E3">
        <w:rPr>
          <w:rFonts w:ascii="Arial" w:hAnsi="Arial" w:cs="Arial"/>
        </w:rPr>
        <w:t>dhe transferimin e teknologjisë;</w:t>
      </w:r>
    </w:p>
    <w:p w:rsidR="00480AFA" w:rsidRPr="001D50E3" w:rsidRDefault="00480AFA" w:rsidP="00754C28">
      <w:pPr>
        <w:spacing w:line="276" w:lineRule="auto"/>
        <w:jc w:val="both"/>
        <w:rPr>
          <w:rFonts w:ascii="Arial" w:hAnsi="Arial" w:cs="Arial"/>
        </w:rPr>
      </w:pPr>
      <w:r w:rsidRPr="001D50E3">
        <w:rPr>
          <w:rFonts w:ascii="Arial" w:hAnsi="Arial" w:cs="Arial"/>
        </w:rPr>
        <w:lastRenderedPageBreak/>
        <w:t>- Mungesa e produkteve turistike konkurruese gjatë gjithë vitit, në fushën e PBS, pengon zhvillimin e industrisë së turizmit, si dhe vëmendje shtesë duhet t'i kushtohet marketingut dhe promovimit të turizmit;</w:t>
      </w:r>
    </w:p>
    <w:p w:rsidR="00480AFA" w:rsidRPr="001D50E3" w:rsidRDefault="00480AFA" w:rsidP="00754C28">
      <w:pPr>
        <w:spacing w:line="276" w:lineRule="auto"/>
        <w:jc w:val="both"/>
        <w:rPr>
          <w:rFonts w:ascii="Arial" w:hAnsi="Arial" w:cs="Arial"/>
        </w:rPr>
      </w:pPr>
      <w:r w:rsidRPr="001D50E3">
        <w:rPr>
          <w:rFonts w:ascii="Arial" w:hAnsi="Arial" w:cs="Arial"/>
        </w:rPr>
        <w:t>- Mungesa e praktikave dhe shërbimeve të bazuara në ekosistemin për të kufizuar humbjen e biodiversitetit dhe shfaqjen e rreziqeve natyrore;</w:t>
      </w:r>
    </w:p>
    <w:p w:rsidR="00480AFA" w:rsidRPr="001D50E3" w:rsidRDefault="00480AFA" w:rsidP="00754C28">
      <w:pPr>
        <w:spacing w:line="276" w:lineRule="auto"/>
        <w:jc w:val="both"/>
        <w:rPr>
          <w:rFonts w:ascii="Arial" w:hAnsi="Arial" w:cs="Arial"/>
        </w:rPr>
      </w:pPr>
      <w:r w:rsidRPr="001D50E3">
        <w:rPr>
          <w:rFonts w:ascii="Arial" w:hAnsi="Arial" w:cs="Arial"/>
        </w:rPr>
        <w:t>- Konsumi i lartë i energjisë dhe EKG, investimet e ulëta në energjinë e pastër, modelet rrethore të pazhvilluara ngadalësojnë ritmin në fushën e CBC, për të kontribuar në konkurrencën neutrale ndaj klimës dhe transformimin pa karbon;</w:t>
      </w:r>
    </w:p>
    <w:p w:rsidR="00480AFA" w:rsidRPr="001D50E3" w:rsidRDefault="00480AFA" w:rsidP="00754C28">
      <w:pPr>
        <w:spacing w:line="276" w:lineRule="auto"/>
        <w:jc w:val="both"/>
        <w:rPr>
          <w:rFonts w:ascii="Arial" w:hAnsi="Arial" w:cs="Arial"/>
        </w:rPr>
      </w:pPr>
      <w:r w:rsidRPr="001D50E3">
        <w:rPr>
          <w:rFonts w:ascii="Arial" w:hAnsi="Arial" w:cs="Arial"/>
        </w:rPr>
        <w:t>- Infrastruktura bazë e pazhvilluar e transportit dhe e shërbimeve rezulton në lidhje të kufizuar rajonale që mund të thellojë më tej barrierat ndaj lëvizshmërisë ndërkufitare</w:t>
      </w:r>
    </w:p>
    <w:p w:rsidR="00326128" w:rsidRPr="001D50E3" w:rsidRDefault="00326128" w:rsidP="00754C28">
      <w:pPr>
        <w:spacing w:line="276" w:lineRule="auto"/>
        <w:jc w:val="both"/>
        <w:rPr>
          <w:rFonts w:ascii="Arial" w:hAnsi="Arial" w:cs="Arial"/>
        </w:rPr>
      </w:pPr>
      <w:r w:rsidRPr="001D50E3">
        <w:rPr>
          <w:rFonts w:ascii="Arial" w:hAnsi="Arial" w:cs="Arial"/>
        </w:rPr>
        <w:t>2. FORCAT E LËVIZJES</w:t>
      </w:r>
    </w:p>
    <w:p w:rsidR="00326128" w:rsidRPr="001D50E3" w:rsidRDefault="00326128" w:rsidP="00754C28">
      <w:pPr>
        <w:spacing w:line="276" w:lineRule="auto"/>
        <w:jc w:val="both"/>
        <w:rPr>
          <w:rFonts w:ascii="Arial" w:hAnsi="Arial" w:cs="Arial"/>
        </w:rPr>
      </w:pPr>
      <w:r w:rsidRPr="001D50E3">
        <w:rPr>
          <w:rFonts w:ascii="Arial" w:hAnsi="Arial" w:cs="Arial"/>
        </w:rPr>
        <w:t>2.1 Sfondi i favorshëm makroekonomik dhe performanca e SME-ve (ndërmarrjet e vogla dhe të mesme)</w:t>
      </w:r>
    </w:p>
    <w:p w:rsidR="00326128" w:rsidRPr="001D50E3" w:rsidRDefault="00326128" w:rsidP="00754C28">
      <w:pPr>
        <w:spacing w:line="276" w:lineRule="auto"/>
        <w:jc w:val="both"/>
        <w:rPr>
          <w:rFonts w:ascii="Arial" w:hAnsi="Arial" w:cs="Arial"/>
        </w:rPr>
      </w:pPr>
      <w:r w:rsidRPr="001D50E3">
        <w:rPr>
          <w:rFonts w:ascii="Arial" w:hAnsi="Arial" w:cs="Arial"/>
        </w:rPr>
        <w:t>Të dy vendet gëzojnë stabilitet makroekonomik dhe potencial të rritjes. Për Republikën e Bullgarisë, kjo e fundit është rreth 3% nga viti 2016, me produktivitetin total të faktorëve si faktor kryesor pas zgjerimit të saj, së bashku me rritjen e peshës së eksporteve në treg, rritjen e kostos së punës për njësi të prodhua</w:t>
      </w:r>
      <w:r w:rsidR="00597CB8" w:rsidRPr="001D50E3">
        <w:rPr>
          <w:rFonts w:ascii="Arial" w:hAnsi="Arial" w:cs="Arial"/>
        </w:rPr>
        <w:t xml:space="preserve">r dhe integrimin e vazhdueshëm </w:t>
      </w:r>
      <w:r w:rsidRPr="001D50E3">
        <w:rPr>
          <w:rFonts w:ascii="Arial" w:hAnsi="Arial" w:cs="Arial"/>
        </w:rPr>
        <w:t>në zinxhirët e vlerës globale, të cilat mbështetën pozicionin konkurrues të Republikës së Bullgarisë.</w:t>
      </w:r>
    </w:p>
    <w:p w:rsidR="00326128" w:rsidRPr="001D50E3" w:rsidRDefault="00326128" w:rsidP="00754C28">
      <w:pPr>
        <w:spacing w:line="276" w:lineRule="auto"/>
        <w:jc w:val="both"/>
        <w:rPr>
          <w:rFonts w:ascii="Arial" w:hAnsi="Arial" w:cs="Arial"/>
        </w:rPr>
      </w:pPr>
      <w:r w:rsidRPr="001D50E3">
        <w:rPr>
          <w:rFonts w:ascii="Arial" w:hAnsi="Arial" w:cs="Arial"/>
        </w:rPr>
        <w:t>E nxitur nga eksportet e forta dhe rritja e kërkesës së brendshme, PBB-ja e Republikës së Maqedonisë së Veriut u rrit me 2</w:t>
      </w:r>
      <w:r w:rsidR="00597CB8" w:rsidRPr="001D50E3">
        <w:rPr>
          <w:rFonts w:ascii="Arial" w:hAnsi="Arial" w:cs="Arial"/>
        </w:rPr>
        <w:t>, 7</w:t>
      </w:r>
      <w:r w:rsidRPr="001D50E3">
        <w:rPr>
          <w:rFonts w:ascii="Arial" w:hAnsi="Arial" w:cs="Arial"/>
        </w:rPr>
        <w:t>% në 2018. Investimet, megjithatë, vazhduan të bien.</w:t>
      </w:r>
    </w:p>
    <w:p w:rsidR="00326128" w:rsidRPr="001D50E3" w:rsidRDefault="00326128" w:rsidP="00754C28">
      <w:pPr>
        <w:spacing w:line="276" w:lineRule="auto"/>
        <w:jc w:val="both"/>
        <w:rPr>
          <w:rFonts w:ascii="Arial" w:hAnsi="Arial" w:cs="Arial"/>
        </w:rPr>
      </w:pPr>
      <w:r w:rsidRPr="001D50E3">
        <w:rPr>
          <w:rFonts w:ascii="Arial" w:hAnsi="Arial" w:cs="Arial"/>
        </w:rPr>
        <w:t>Në nivelin e bashkëpunimit ndërkufitar, disa ndryshime në pjesët e PBB-së rajonale për vitin 2018 formojnë perspektivën aktuale ekonomike të zonës kryesisht për shkak të madhësisë së kufizuar të tregut të Republikës së Maqedonisë Veriore: - Zona e Blagoevgradit (2.7%), Kyustendil zona (1,0 %), rajoni juglindor (9,37 %), rajoni lindor (8,25 %), rajoni verilindor (4,91 %).</w:t>
      </w:r>
    </w:p>
    <w:p w:rsidR="00326128" w:rsidRPr="001D50E3" w:rsidRDefault="00326128" w:rsidP="00754C28">
      <w:pPr>
        <w:spacing w:line="276" w:lineRule="auto"/>
        <w:jc w:val="both"/>
        <w:rPr>
          <w:rFonts w:ascii="Arial" w:hAnsi="Arial" w:cs="Arial"/>
        </w:rPr>
      </w:pPr>
      <w:r w:rsidRPr="001D50E3">
        <w:rPr>
          <w:rFonts w:ascii="Arial" w:hAnsi="Arial" w:cs="Arial"/>
        </w:rPr>
        <w:t>Në terma nominalë, të 5 rajonet tregojnë rritje të PBB-së me një normë afër mesatares kombëtare.</w:t>
      </w:r>
    </w:p>
    <w:p w:rsidR="00326128" w:rsidRPr="001D50E3" w:rsidRDefault="00326128" w:rsidP="00754C28">
      <w:pPr>
        <w:spacing w:line="276" w:lineRule="auto"/>
        <w:jc w:val="both"/>
        <w:rPr>
          <w:rFonts w:ascii="Arial" w:hAnsi="Arial" w:cs="Arial"/>
        </w:rPr>
      </w:pPr>
      <w:r w:rsidRPr="001D50E3">
        <w:rPr>
          <w:rFonts w:ascii="Arial" w:hAnsi="Arial" w:cs="Arial"/>
        </w:rPr>
        <w:t>Vlera e shtuar bruto (PBB) është një tjetër tregues i rëndësishëm i prodhimit ekonomik në zonën ndërkufitare. Në Republikën e Maqedonisë së Veriut, vlera e shtuar e NVM-ve është rritur për 28,0% në periudhën 2012-2017, dhe punësimi në NVM është rritur për 12,3% në të njëjtën periudhë. Në Republikën e Bullgarisë, ndërmarrjet e vogla dhe të mesme gjenerojnë dy të tretat e vlerës totale të shtuar dhe tre të katërtat e totalit.</w:t>
      </w:r>
    </w:p>
    <w:p w:rsidR="00326128" w:rsidRPr="001D50E3" w:rsidRDefault="00326128" w:rsidP="00754C28">
      <w:pPr>
        <w:spacing w:line="276" w:lineRule="auto"/>
        <w:jc w:val="both"/>
        <w:rPr>
          <w:rFonts w:ascii="Arial" w:hAnsi="Arial" w:cs="Arial"/>
        </w:rPr>
      </w:pPr>
      <w:r w:rsidRPr="001D50E3">
        <w:rPr>
          <w:rFonts w:ascii="Arial" w:hAnsi="Arial" w:cs="Arial"/>
        </w:rPr>
        <w:t xml:space="preserve">punësimi në vend, i cili është shumë më i lartë se mesatarja përkatëse e BE-së prej 56.4% dhe 66.6%. Në vitet 2014-2018, NVM-të në “ekonominë e biznesit jofinanciar” gjeneruan një rritje të ndjeshme prej 50,7% të vlerës së shtuar të NVM-ve. Në të kundërt, punësimi i NVM-ve u rrit vetëm mesatarisht, me 8.6%. Tregtia me shumicë dhe pakicë gjithashtu formëson specializimin sektorial në Republikën e Maqedonisë së Veriut, me pjesëmarrje prej 40,7% të NVM-ve, 30,3% të punësimit të përgjithshëm të NVM-ve dhe pothuajse një të tretën (31,6%) të vlerës së shtuar totale të NVM-ve. Një nga sektorët e SME-ve me rritje më të shpejtë në vend në vitet 2012-2017 ishte sektori i informacionit dhe komunikimit. NVM-të në këtë sektor arritën rritje mbresëlënëse </w:t>
      </w:r>
      <w:r w:rsidRPr="001D50E3">
        <w:rPr>
          <w:rFonts w:ascii="Arial" w:hAnsi="Arial" w:cs="Arial"/>
        </w:rPr>
        <w:lastRenderedPageBreak/>
        <w:t>të vlerës së shtuar prej 64.4%, dhe rritje akoma më të lartë të punësimit prej 65.9%. Megjithëse ekonomia e Republikës së Bullgarisë është shumë e orientuar drejt shërbimeve, rritja e shëndetshme e fundit e vlerës së shtuar të NVM-ve u ndikua pjesërisht nga prodhimi. Vlera e shtuar e NVM-ve në këtë sektor është rritur me 41.1% në vitet 2014-2018, ndërsa punësimi i SME-ve është rritur me 4.9%.</w:t>
      </w:r>
    </w:p>
    <w:p w:rsidR="00326128" w:rsidRPr="001D50E3" w:rsidRDefault="00326128" w:rsidP="00754C28">
      <w:pPr>
        <w:spacing w:line="276" w:lineRule="auto"/>
        <w:jc w:val="both"/>
        <w:rPr>
          <w:rFonts w:ascii="Arial" w:hAnsi="Arial" w:cs="Arial"/>
        </w:rPr>
      </w:pPr>
      <w:r w:rsidRPr="001D50E3">
        <w:rPr>
          <w:rFonts w:ascii="Arial" w:hAnsi="Arial" w:cs="Arial"/>
        </w:rPr>
        <w:t>Në nivelin e bashkëpunimit ndërkufitar, pjesa më e madhe e prodhimit ekonomik të prodhuar është regjistruar në zonën e Blagoevgradit në sektorin e shërbimeve, pasuar nga rajoni lindor dhe juglindor i Republikës së Maqedonisë Veriore i specializuar në bujqësi. Industria është sektori me peshën kumulative më të ulët të PBB-së. Megjithatë, ajo renditet e dyta në ekonominë e Republikës së Bullgarisë dhe e treta në ekonominë e Republikës së Maqedonisë së Veriut në zonën ndërkufitare, dhe përfaqësohet kryesisht nga minierat, si një sektor lider në të kaluarën dhe ende duke ruajtur pjesën më të madhe të tij. peshë të rëndësishme në prodhimin industrial rajonal. Në përgjithësi, ky specializim rajonal ndërkufitar i ngjan zhvillimit të ulët ekonomik dhe performancës ekonomike jokonkurruese me mundësi të kufizuara që kompanitë vendase t'i bashkohen zinxhirëve të vlerës globale. Megjithatë, u vu re një tendencë pozitive: pesha e fortë e shërbimeve vazhdoi të rritet në kurriz të tkurrjes së sektorëve të industrisë dhe bujqësisë.</w:t>
      </w:r>
    </w:p>
    <w:p w:rsidR="00326128" w:rsidRPr="001D50E3" w:rsidRDefault="00326128" w:rsidP="00754C28">
      <w:pPr>
        <w:spacing w:line="276" w:lineRule="auto"/>
        <w:jc w:val="both"/>
        <w:rPr>
          <w:rFonts w:ascii="Arial" w:hAnsi="Arial" w:cs="Arial"/>
        </w:rPr>
      </w:pPr>
      <w:r w:rsidRPr="001D50E3">
        <w:rPr>
          <w:rFonts w:ascii="Arial" w:hAnsi="Arial" w:cs="Arial"/>
        </w:rPr>
        <w:t>Sipas Komisionit për vlerësimin e Programit për reforma ekonomike të Republikës së Maqedonisë së Veriut (2019-2021), ekonomia kombëtare u rimëkëmb në vitin 2018 në kurriz të eksporteve të forta. Republika e Bullgarisë është ndër partnerët më të mëdhenj tregtarë dhe ky është një parakusht kyç mundësues për ndërtimin e zinxhirëve rajonalë të vlerës. Sipas Agjencisë Bullgare të Doganave, trafiku i mallrave dhe lëvizja e njerëzve midis dy vendeve rritet mesatarisht me 10% në vit. Për të theksuar më tej këtë trend pozitiv, këtu janë rezultatet e performancës së të dy vendeve në fushën e internizimit që janë në përputhje me mesataren e BE-së (Fact Sheets për SBA 2019 (2019 SBA Fact Sheets) për Republikën e Bullgarisë dhe Republika e Maqedonisë së Veriut).</w:t>
      </w:r>
    </w:p>
    <w:p w:rsidR="00326128" w:rsidRPr="001D50E3" w:rsidRDefault="00326128" w:rsidP="00754C28">
      <w:pPr>
        <w:spacing w:line="276" w:lineRule="auto"/>
        <w:jc w:val="both"/>
        <w:rPr>
          <w:rFonts w:ascii="Arial" w:hAnsi="Arial" w:cs="Arial"/>
        </w:rPr>
      </w:pPr>
      <w:r w:rsidRPr="001D50E3">
        <w:rPr>
          <w:rFonts w:ascii="Arial" w:hAnsi="Arial" w:cs="Arial"/>
        </w:rPr>
        <w:t>Vendndodhja e favorshme gjeografike dhe afërsia e kryeqyteteve të dy vendeve mund të ndikojë pozitivisht në potencialin zhvillimor të rajonit.</w:t>
      </w:r>
    </w:p>
    <w:p w:rsidR="00326128" w:rsidRPr="001D50E3" w:rsidRDefault="00326128" w:rsidP="00754C28">
      <w:pPr>
        <w:spacing w:line="276" w:lineRule="auto"/>
        <w:jc w:val="both"/>
        <w:rPr>
          <w:rFonts w:ascii="Arial" w:hAnsi="Arial" w:cs="Arial"/>
        </w:rPr>
      </w:pPr>
      <w:r w:rsidRPr="001D50E3">
        <w:rPr>
          <w:rFonts w:ascii="Arial" w:hAnsi="Arial" w:cs="Arial"/>
        </w:rPr>
        <w:t>2.2 Biodiversitet i pasur me ndikim të fortë në rritjen ekonomike</w:t>
      </w:r>
    </w:p>
    <w:p w:rsidR="00326128" w:rsidRPr="001D50E3" w:rsidRDefault="00326128" w:rsidP="00754C28">
      <w:pPr>
        <w:spacing w:line="276" w:lineRule="auto"/>
        <w:jc w:val="both"/>
        <w:rPr>
          <w:rFonts w:ascii="Arial" w:hAnsi="Arial" w:cs="Arial"/>
        </w:rPr>
      </w:pPr>
      <w:r w:rsidRPr="001D50E3">
        <w:rPr>
          <w:rFonts w:ascii="Arial" w:hAnsi="Arial" w:cs="Arial"/>
        </w:rPr>
        <w:t>ona e programit gëzon një trashëgimi natyrore shumë të pasur dhe të larmishme. Republika e Bullgarisë është vendi i tretë i renditur i BE-së në Rrjetin Kombëtar të Mjedisit - NEN (NEN) me mbulim prej 34.4% të territorit të saj kombëtar nën rrjetin Natura 2000. Pjesa bullgare e zonës ndërkufitare është e pasur me parqe natyrore dhe rezerva që gëzojnë forma të ndryshme mbrojtjeje. Një numër i madh i habitateve natyrore në kufirin e Republikës së Maqedonisë së Veriut janë nominuar zyrtarisht për lokacione kandidate në Rrjetin Emerald. Rrjeti Nacional Emerald në Republikën e Maqedonisë Veriore mbulon 16 lokacione që përfaqësojnë rreth 80% të të gjithë rrjetit. Në kufirin e Republikës së Maqedonisë Veriore kalojnë korridore të rëndësishme ekologjike me rëndësi gjeomorfologjike, ornitologjike dhe botanike.</w:t>
      </w:r>
    </w:p>
    <w:p w:rsidR="00326128" w:rsidRPr="001D50E3" w:rsidRDefault="00326128" w:rsidP="00754C28">
      <w:pPr>
        <w:spacing w:line="276" w:lineRule="auto"/>
        <w:jc w:val="both"/>
        <w:rPr>
          <w:rFonts w:ascii="Arial" w:hAnsi="Arial" w:cs="Arial"/>
        </w:rPr>
      </w:pPr>
      <w:r w:rsidRPr="001D50E3">
        <w:rPr>
          <w:rFonts w:ascii="Arial" w:hAnsi="Arial" w:cs="Arial"/>
        </w:rPr>
        <w:t>Nga shtatori i vitit 2021, Bjeshkët e Osogovës morën statusin e mbrojtjes së një sipërfaqe prej 48,829.26 hektarësh. Disa zona të tjera janë në rrugën e tyre për t'u mbrojtur nga rrjeti Emerald - këto janë Dolna Bregalnica dhe Malet e Maleshevës me 11,460.89 hektarë zona të mbrojtura.</w:t>
      </w:r>
    </w:p>
    <w:p w:rsidR="00326128" w:rsidRPr="001D50E3" w:rsidRDefault="00326128" w:rsidP="00754C28">
      <w:pPr>
        <w:spacing w:line="276" w:lineRule="auto"/>
        <w:jc w:val="both"/>
        <w:rPr>
          <w:rFonts w:ascii="Arial" w:hAnsi="Arial" w:cs="Arial"/>
        </w:rPr>
      </w:pPr>
      <w:r w:rsidRPr="001D50E3">
        <w:rPr>
          <w:rFonts w:ascii="Arial" w:hAnsi="Arial" w:cs="Arial"/>
        </w:rPr>
        <w:lastRenderedPageBreak/>
        <w:t>Zona e programit gjithashtu i përket Brezit të Gjelbër Ballkanik, i cili është pjesa më jugore e Brezit të Gjelbër Evropian. Krahas diversitetit natyror të rajonit, ka pyje që mbulojnë rreth 46.5% të territorit të përgjithshëm të zonës kufitare, të cilat ofrojnë lëndë të parë për industrinë e përpunimit të drurit, si dhe mundësi për aktivitete rekreative dhe gjuetie.</w:t>
      </w:r>
    </w:p>
    <w:p w:rsidR="00326128" w:rsidRPr="001D50E3" w:rsidRDefault="00326128" w:rsidP="00754C28">
      <w:pPr>
        <w:spacing w:line="276" w:lineRule="auto"/>
        <w:jc w:val="both"/>
        <w:rPr>
          <w:rFonts w:ascii="Arial" w:hAnsi="Arial" w:cs="Arial"/>
        </w:rPr>
      </w:pPr>
      <w:r w:rsidRPr="001D50E3">
        <w:rPr>
          <w:rFonts w:ascii="Arial" w:hAnsi="Arial" w:cs="Arial"/>
        </w:rPr>
        <w:t>Rishikimi i performancës mjedisore të OECD-së për vitin 2019 thekson se Republika e Maqedonisë së Veriut ka ruajtur me sukses bollëkun e specieve të egra autoktone të faunës, kërpudhave dhe florës, duke përfshirë specie të shumta të kategorizuara nga Unioni Ndërkombëtar për Ruajtjen e Natyrës (IUCN) si të rrezikuara globalisht. dhe specie të përfshira në Listën e Kuqe Evropiane, si dhe shumë lloje endemike..</w:t>
      </w:r>
    </w:p>
    <w:p w:rsidR="00326128" w:rsidRPr="001D50E3" w:rsidRDefault="00326128" w:rsidP="00754C28">
      <w:pPr>
        <w:spacing w:line="276" w:lineRule="auto"/>
        <w:jc w:val="both"/>
        <w:rPr>
          <w:rFonts w:ascii="Arial" w:hAnsi="Arial" w:cs="Arial"/>
        </w:rPr>
      </w:pPr>
      <w:r w:rsidRPr="001D50E3">
        <w:rPr>
          <w:rFonts w:ascii="Arial" w:hAnsi="Arial" w:cs="Arial"/>
        </w:rPr>
        <w:t>Pavarësisht mbrojtjes së larmishme mjedisore që gëzon zona ndërkufitare, në rajon ka zona me humbje habitati, fragmentim dhe modifikim, ekosisteme të reduktuara ose të shkatërruara. Arsyet kryesore për këtë janë: sistemet e dobëta të kontrollit, niveli i ulët arsimor, mungesa e informacionit, cenueshmëria e lartë ndaj rreziqeve natyrore dhe të shkaktuara nga njeriu (të krijuara nga njeriu ose nga njeriu), mungesa e planifikimit të integruar dhe praktikave dhe shërbimeve të bazuara në ekosistem. , etj.</w:t>
      </w:r>
    </w:p>
    <w:p w:rsidR="00326128" w:rsidRPr="001D50E3" w:rsidRDefault="00326128" w:rsidP="00754C28">
      <w:pPr>
        <w:spacing w:line="276" w:lineRule="auto"/>
        <w:jc w:val="both"/>
        <w:rPr>
          <w:rFonts w:ascii="Arial" w:hAnsi="Arial" w:cs="Arial"/>
        </w:rPr>
      </w:pPr>
      <w:r w:rsidRPr="001D50E3">
        <w:rPr>
          <w:rFonts w:ascii="Arial" w:hAnsi="Arial" w:cs="Arial"/>
        </w:rPr>
        <w:t>Sipas Komisionit dhe Strategjisë së BE-së për Biodiversitetin 2020, zhvillimi i infrastrukturës së gjelbër (GI) është shembulli më i mirë i praktikave të bazuara në ekosistem që kontribuojnë në komunitetet elastike dhe rezultojnë në përfitime të shumta për një territor të caktuar. Këto përfitime ndihmëse përfshijnë përmirësimin e shëndetit dhe mirëqenies së njerëzve, përmirësimin e shërbimeve mjedisore dhe rritjen ekonomike. Infrastruktura e gjelbër synon të forcojë dhe rivendosë ekosistemet e degraduara duke forcuar menaxhimin e integruar të tokës. Siç theksohet në Strategjinë e BE-së për Infrastrukturën e Gjelbër, investimet në infrastrukturën e gjelbër kanë potencial të rëndësishëm për rritjen e zhvillimit rajonal dhe urban, duke përfshirë mirëmbajtjen ose krijimin e vendeve të punës. Biodiversiteti i pasur i rajonit është baza për zhvillimin dhe diversifikimin e formave të ndryshme të turizmit.</w:t>
      </w:r>
    </w:p>
    <w:p w:rsidR="00326128" w:rsidRPr="001D50E3" w:rsidRDefault="00326128" w:rsidP="00754C28">
      <w:pPr>
        <w:spacing w:line="276" w:lineRule="auto"/>
        <w:jc w:val="both"/>
        <w:rPr>
          <w:rFonts w:ascii="Arial" w:hAnsi="Arial" w:cs="Arial"/>
        </w:rPr>
      </w:pPr>
      <w:r w:rsidRPr="001D50E3">
        <w:rPr>
          <w:rFonts w:ascii="Arial" w:hAnsi="Arial" w:cs="Arial"/>
        </w:rPr>
        <w:t>3. NEVOJA PËR INVESTIME TË PËRBASHKËT</w:t>
      </w:r>
    </w:p>
    <w:p w:rsidR="00326128" w:rsidRPr="001D50E3" w:rsidRDefault="00326128" w:rsidP="00754C28">
      <w:pPr>
        <w:spacing w:line="276" w:lineRule="auto"/>
        <w:jc w:val="both"/>
        <w:rPr>
          <w:rFonts w:ascii="Arial" w:hAnsi="Arial" w:cs="Arial"/>
        </w:rPr>
      </w:pPr>
      <w:r w:rsidRPr="001D50E3">
        <w:rPr>
          <w:rFonts w:ascii="Arial" w:hAnsi="Arial" w:cs="Arial"/>
        </w:rPr>
        <w:t>Nevojat e identifikuara për investime të përbashkëta pasqyrojnë dallimet e deklaruara territoriale, sfidat dhe burimet, si dhe synimet e Axhendës Territoriale 2030, e cila synon të forcojë solidaritetin në nxitjen e konvergjencës dhe reduktimin e pabarazive midis vendeve më të favorshme dhe atyre me perspekti</w:t>
      </w:r>
      <w:r w:rsidR="00597CB8" w:rsidRPr="001D50E3">
        <w:rPr>
          <w:rFonts w:ascii="Arial" w:hAnsi="Arial" w:cs="Arial"/>
        </w:rPr>
        <w:t xml:space="preserve">va më pak të begata ose vonesa </w:t>
      </w:r>
      <w:r w:rsidRPr="001D50E3">
        <w:rPr>
          <w:rFonts w:ascii="Arial" w:hAnsi="Arial" w:cs="Arial"/>
        </w:rPr>
        <w:t>mbrapa.</w:t>
      </w:r>
    </w:p>
    <w:p w:rsidR="00326128" w:rsidRPr="001D50E3" w:rsidRDefault="00326128" w:rsidP="00754C28">
      <w:pPr>
        <w:spacing w:line="276" w:lineRule="auto"/>
        <w:jc w:val="both"/>
        <w:rPr>
          <w:rFonts w:ascii="Arial" w:hAnsi="Arial" w:cs="Arial"/>
        </w:rPr>
      </w:pPr>
      <w:r w:rsidRPr="001D50E3">
        <w:rPr>
          <w:rFonts w:ascii="Arial" w:hAnsi="Arial" w:cs="Arial"/>
        </w:rPr>
        <w:t>- Investimet në masa territoriale të integruara shumëdimensionale që lidhen me hendekun e të ardhurave, rrezikun relativisht të lartë të varfërisë, përfshirjen sociale përmes shërbimeve me bazë komunitare dhe punësimit të integruar, përmirësimin e aksesit dhe cilësisë së shërbimeve të përgjithshme për njerëzit dhe ndërmarrjet;</w:t>
      </w:r>
    </w:p>
    <w:p w:rsidR="00326128" w:rsidRPr="001D50E3" w:rsidRDefault="00326128" w:rsidP="00754C28">
      <w:pPr>
        <w:spacing w:line="276" w:lineRule="auto"/>
        <w:jc w:val="both"/>
        <w:rPr>
          <w:rFonts w:ascii="Arial" w:hAnsi="Arial" w:cs="Arial"/>
        </w:rPr>
      </w:pPr>
      <w:r w:rsidRPr="001D50E3">
        <w:rPr>
          <w:rFonts w:ascii="Arial" w:hAnsi="Arial" w:cs="Arial"/>
        </w:rPr>
        <w:t>- Investimet në zhvillimin dhe zbatimin e mundësive tërheqëse të punësimit dhe programeve gjithëpërfshirëse të zhvillimit dixhital, duke përfshirë masat e ekonomisë së argjendtë;</w:t>
      </w:r>
    </w:p>
    <w:p w:rsidR="00326128" w:rsidRPr="001D50E3" w:rsidRDefault="00326128" w:rsidP="00754C28">
      <w:pPr>
        <w:spacing w:line="276" w:lineRule="auto"/>
        <w:jc w:val="both"/>
        <w:rPr>
          <w:rFonts w:ascii="Arial" w:hAnsi="Arial" w:cs="Arial"/>
        </w:rPr>
      </w:pPr>
      <w:r w:rsidRPr="001D50E3">
        <w:rPr>
          <w:rFonts w:ascii="Arial" w:hAnsi="Arial" w:cs="Arial"/>
        </w:rPr>
        <w:t>- Investimet për përmirësimin e cilësisë, rëndësinë e tregut të punës dhe përfshirjen e arsimit dhe trajnimit;</w:t>
      </w:r>
    </w:p>
    <w:p w:rsidR="00326128" w:rsidRPr="001D50E3" w:rsidRDefault="00326128" w:rsidP="00754C28">
      <w:pPr>
        <w:spacing w:line="276" w:lineRule="auto"/>
        <w:jc w:val="both"/>
        <w:rPr>
          <w:rFonts w:ascii="Arial" w:hAnsi="Arial" w:cs="Arial"/>
        </w:rPr>
      </w:pPr>
      <w:r w:rsidRPr="001D50E3">
        <w:rPr>
          <w:rFonts w:ascii="Arial" w:hAnsi="Arial" w:cs="Arial"/>
        </w:rPr>
        <w:t>- Investimet për modernizimin teknologjik, adoptimin e modeleve rrethore, dixhitalizimin, internizimin, sipërmarrjen, aksesin dhe ngritjen e zinxhirëve të vlerave rajonale, lehtësimin e rrjeteve nd</w:t>
      </w:r>
      <w:r w:rsidR="00597CB8" w:rsidRPr="001D50E3">
        <w:rPr>
          <w:rFonts w:ascii="Arial" w:hAnsi="Arial" w:cs="Arial"/>
        </w:rPr>
        <w:t>ërkufitare të ndërmarrjeve, etj</w:t>
      </w:r>
      <w:r w:rsidRPr="001D50E3">
        <w:rPr>
          <w:rFonts w:ascii="Arial" w:hAnsi="Arial" w:cs="Arial"/>
        </w:rPr>
        <w:t>;</w:t>
      </w:r>
    </w:p>
    <w:p w:rsidR="00326128" w:rsidRPr="001D50E3" w:rsidRDefault="00326128" w:rsidP="00754C28">
      <w:pPr>
        <w:spacing w:line="276" w:lineRule="auto"/>
        <w:jc w:val="both"/>
        <w:rPr>
          <w:rFonts w:ascii="Arial" w:hAnsi="Arial" w:cs="Arial"/>
        </w:rPr>
      </w:pPr>
      <w:r w:rsidRPr="001D50E3">
        <w:rPr>
          <w:rFonts w:ascii="Arial" w:hAnsi="Arial" w:cs="Arial"/>
        </w:rPr>
        <w:lastRenderedPageBreak/>
        <w:t>- Investimet në prezantimin dhe përhapjen e qasjes së "teknologjisë së qëllimit" që do të përdorte kërkimin dhe investimet për të krijuar zgjidhje që adresojnë urgjencën e sfidave mjedisore dhe sociale të bashkëpunimit ndërkufitar;</w:t>
      </w:r>
    </w:p>
    <w:p w:rsidR="00326128" w:rsidRPr="001D50E3" w:rsidRDefault="00326128" w:rsidP="00754C28">
      <w:pPr>
        <w:spacing w:line="276" w:lineRule="auto"/>
        <w:jc w:val="both"/>
        <w:rPr>
          <w:rFonts w:ascii="Arial" w:hAnsi="Arial" w:cs="Arial"/>
        </w:rPr>
      </w:pPr>
      <w:r w:rsidRPr="001D50E3">
        <w:rPr>
          <w:rFonts w:ascii="Arial" w:hAnsi="Arial" w:cs="Arial"/>
        </w:rPr>
        <w:t>- Investimet në zhvillimin e qasjeve të bazuara në ekosisteme dhe zgjidhjeve të peizazhit për të adresuar çështjet mjedisore, si dhe teknikat e zakonshme të ruajtjes dhe ruajtjes;</w:t>
      </w:r>
    </w:p>
    <w:p w:rsidR="00326128" w:rsidRPr="001D50E3" w:rsidRDefault="00326128" w:rsidP="00754C28">
      <w:pPr>
        <w:spacing w:line="276" w:lineRule="auto"/>
        <w:jc w:val="both"/>
        <w:rPr>
          <w:rFonts w:ascii="Arial" w:hAnsi="Arial" w:cs="Arial"/>
        </w:rPr>
      </w:pPr>
      <w:r w:rsidRPr="001D50E3">
        <w:rPr>
          <w:rFonts w:ascii="Arial" w:hAnsi="Arial" w:cs="Arial"/>
        </w:rPr>
        <w:t>- Investimet për zhvillimin e integruar të praktikave të turizmit të qëndrueshëm;</w:t>
      </w:r>
    </w:p>
    <w:p w:rsidR="00326128" w:rsidRPr="001D50E3" w:rsidRDefault="00326128" w:rsidP="00754C28">
      <w:pPr>
        <w:spacing w:line="276" w:lineRule="auto"/>
        <w:jc w:val="both"/>
        <w:rPr>
          <w:rFonts w:ascii="Arial" w:hAnsi="Arial" w:cs="Arial"/>
        </w:rPr>
      </w:pPr>
      <w:r w:rsidRPr="001D50E3">
        <w:rPr>
          <w:rFonts w:ascii="Arial" w:hAnsi="Arial" w:cs="Arial"/>
        </w:rPr>
        <w:t>- Investimet në përmirësimin e lidhjes dhe lëvizshmërisë ndërkufitare.</w:t>
      </w:r>
    </w:p>
    <w:p w:rsidR="00326128" w:rsidRPr="001D50E3" w:rsidRDefault="00326128" w:rsidP="00754C28">
      <w:pPr>
        <w:spacing w:line="276" w:lineRule="auto"/>
        <w:jc w:val="both"/>
        <w:rPr>
          <w:rFonts w:ascii="Arial" w:hAnsi="Arial" w:cs="Arial"/>
        </w:rPr>
      </w:pPr>
      <w:r w:rsidRPr="001D50E3">
        <w:rPr>
          <w:rFonts w:ascii="Arial" w:hAnsi="Arial" w:cs="Arial"/>
        </w:rPr>
        <w:t>. PLOTËSIA DHE SINERGJI ME PROGRAME DHE INSTRUMENTE TË TJERA FINANCIARE</w:t>
      </w:r>
    </w:p>
    <w:p w:rsidR="00326128" w:rsidRPr="001D50E3" w:rsidRDefault="00326128" w:rsidP="00754C28">
      <w:pPr>
        <w:spacing w:line="276" w:lineRule="auto"/>
        <w:jc w:val="both"/>
        <w:rPr>
          <w:rFonts w:ascii="Arial" w:hAnsi="Arial" w:cs="Arial"/>
        </w:rPr>
      </w:pPr>
      <w:r w:rsidRPr="001D50E3">
        <w:rPr>
          <w:rFonts w:ascii="Arial" w:hAnsi="Arial" w:cs="Arial"/>
        </w:rPr>
        <w:t>Programi IPA 3 i bashkëpunimit ndërkufitar ndërmjet Republikës së Bullgarisë dhe Republikës së Maqedonisë së Veriut plotësohet me programe dhe instrumente të tjera financimi. Sinergjia dhe efekti kumulativ i këtij komplementariteti mund të renditen sipas prioriteteve të programit të bashkëpunimit ndërkufitar IPA 3, si më poshtë:</w:t>
      </w:r>
    </w:p>
    <w:p w:rsidR="00326128" w:rsidRPr="001D50E3" w:rsidRDefault="00326128" w:rsidP="00754C28">
      <w:pPr>
        <w:spacing w:line="276" w:lineRule="auto"/>
        <w:jc w:val="both"/>
        <w:rPr>
          <w:rFonts w:ascii="Arial" w:hAnsi="Arial" w:cs="Arial"/>
        </w:rPr>
      </w:pPr>
      <w:r w:rsidRPr="001D50E3">
        <w:rPr>
          <w:rFonts w:ascii="Arial" w:hAnsi="Arial" w:cs="Arial"/>
        </w:rPr>
        <w:t>PRIORITET 1 RAJON KUFIRI I GJELBLI (infrastruktura e gjelbër)</w:t>
      </w:r>
    </w:p>
    <w:p w:rsidR="00326128" w:rsidRPr="001D50E3" w:rsidRDefault="00326128" w:rsidP="00754C28">
      <w:pPr>
        <w:spacing w:line="276" w:lineRule="auto"/>
        <w:jc w:val="both"/>
        <w:rPr>
          <w:rFonts w:ascii="Arial" w:hAnsi="Arial" w:cs="Arial"/>
        </w:rPr>
      </w:pPr>
      <w:r w:rsidRPr="001D50E3">
        <w:rPr>
          <w:rFonts w:ascii="Arial" w:hAnsi="Arial" w:cs="Arial"/>
        </w:rPr>
        <w:t>Këto tema mbulohen në Programin e Mjedisit dhe në Kornizën e Prioritetit Kombëtar për Veprim për Natura 2000 për periudhën programore 2021-2027. Për të siguruar një ndikim të qëndrueshëm në infrastrukturën mjedisore, Programi aktual ndërvepron me Programin e Mjedisit 2021-2027 për të inkurajuar forcimin e biodiversitetit, infrastrukturës "të gjelbër" në zonat urbane dhe uljen e ndotjes.</w:t>
      </w:r>
    </w:p>
    <w:p w:rsidR="00326128" w:rsidRPr="001D50E3" w:rsidRDefault="00326128" w:rsidP="00754C28">
      <w:pPr>
        <w:spacing w:line="276" w:lineRule="auto"/>
        <w:jc w:val="both"/>
        <w:rPr>
          <w:rFonts w:ascii="Arial" w:hAnsi="Arial" w:cs="Arial"/>
        </w:rPr>
      </w:pPr>
      <w:r w:rsidRPr="001D50E3">
        <w:rPr>
          <w:rFonts w:ascii="Arial" w:hAnsi="Arial" w:cs="Arial"/>
        </w:rPr>
        <w:t>Kuadri Kombëtar i Prioritetit për Veprim për Natura 2000 fokusohet në përpjekjet për të siguruar men habitatet natyrore dhe speciet me rëndësi evropiane dhe kombëtare për të ndaluar humbjen e biodiversitetit duke përmirësuar mbrojtjen dhe ruajtjen e natyrës, biodiversitetit dhe infrastrukturës së gjelbër.</w:t>
      </w:r>
    </w:p>
    <w:p w:rsidR="00326128" w:rsidRPr="001D50E3" w:rsidRDefault="00326128" w:rsidP="00754C28">
      <w:pPr>
        <w:spacing w:line="276" w:lineRule="auto"/>
        <w:jc w:val="both"/>
        <w:rPr>
          <w:rFonts w:ascii="Arial" w:hAnsi="Arial" w:cs="Arial"/>
        </w:rPr>
      </w:pPr>
      <w:r w:rsidRPr="001D50E3">
        <w:rPr>
          <w:rFonts w:ascii="Arial" w:hAnsi="Arial" w:cs="Arial"/>
        </w:rPr>
        <w:t>Programi i ri Euro-Med Transnacional 2021-2027, të cilit i janë bashkuar së fundi Republika e Maqedonisë së Veriut dhe Republika e Bullgarisë, parashikon zbatimin e një koncepti të infrastrukturës së gjelbër që mund të përmirësojë gradualisht disponueshmërinë e shërbimeve të ekosistemit dhe të mbështesë vizionin e ruajtjes së biodiversitetit si vlera ekonomike për rajonet.</w:t>
      </w:r>
    </w:p>
    <w:p w:rsidR="00326128" w:rsidRPr="001D50E3" w:rsidRDefault="00326128" w:rsidP="00754C28">
      <w:pPr>
        <w:spacing w:line="276" w:lineRule="auto"/>
        <w:jc w:val="both"/>
        <w:rPr>
          <w:rFonts w:ascii="Arial" w:hAnsi="Arial" w:cs="Arial"/>
        </w:rPr>
      </w:pPr>
      <w:r w:rsidRPr="001D50E3">
        <w:rPr>
          <w:rFonts w:ascii="Arial" w:hAnsi="Arial" w:cs="Arial"/>
        </w:rPr>
        <w:t xml:space="preserve">Të njëjtat synime ndiqen edhe nga programi ADRION, në të cilin merr pjesë edhe Republika e Maqedonisë së Veriut. Kështu, pjesëmarrja individuale e Republikës së Bullgarisë dhe Republikës së Maqedonisë së Veriut në programe të ndryshme të financuara nga BE-ja krijon sinergji të rëndësishme me programin e bashkëpunimit ndërkufitar IPA 3. të zhvillimit socio-ekonomik dhe të ruajtjes </w:t>
      </w:r>
      <w:r w:rsidR="00597CB8" w:rsidRPr="001D50E3">
        <w:rPr>
          <w:rFonts w:ascii="Arial" w:hAnsi="Arial" w:cs="Arial"/>
        </w:rPr>
        <w:t xml:space="preserve">së një shëndeti të shëndetshëm </w:t>
      </w:r>
      <w:r w:rsidRPr="001D50E3">
        <w:rPr>
          <w:rFonts w:ascii="Arial" w:hAnsi="Arial" w:cs="Arial"/>
        </w:rPr>
        <w:t>dhe mjedisi i mbrojtur përplasen dhe kështu krijojnë ndikim më të madh, efikasitet dhe ndikim pozitiv në mjedis.</w:t>
      </w:r>
    </w:p>
    <w:p w:rsidR="00326128" w:rsidRPr="001D50E3" w:rsidRDefault="00326128" w:rsidP="00754C28">
      <w:pPr>
        <w:spacing w:line="276" w:lineRule="auto"/>
        <w:jc w:val="both"/>
        <w:rPr>
          <w:rFonts w:ascii="Arial" w:hAnsi="Arial" w:cs="Arial"/>
        </w:rPr>
      </w:pPr>
      <w:r w:rsidRPr="001D50E3">
        <w:rPr>
          <w:rFonts w:ascii="Arial" w:hAnsi="Arial" w:cs="Arial"/>
        </w:rPr>
        <w:t>PRIORITETI 2 RAJONI KUFIRI I LIDHUR (lidhje komunikimi, akses i zgjeruar në thelbin TEN-T)</w:t>
      </w:r>
    </w:p>
    <w:p w:rsidR="00326128" w:rsidRPr="001D50E3" w:rsidRDefault="00326128" w:rsidP="00754C28">
      <w:pPr>
        <w:spacing w:line="276" w:lineRule="auto"/>
        <w:jc w:val="both"/>
        <w:rPr>
          <w:rFonts w:ascii="Arial" w:hAnsi="Arial" w:cs="Arial"/>
        </w:rPr>
      </w:pPr>
      <w:r w:rsidRPr="001D50E3">
        <w:rPr>
          <w:rFonts w:ascii="Arial" w:hAnsi="Arial" w:cs="Arial"/>
        </w:rPr>
        <w:t xml:space="preserve">Projekti për “Krijimi i një kalimi të ri kufitar Klepalo” ndërmjet Republikës së Bullgarisë dhe Republikës së Maqedonisë Veriore sipas programit aktual plotëson ndërhyrjet nga Programi për Sigurinë e Transportit 2021-2027 për zhvillimin e marrëdhënieve me vendet fqinje. Është planifikuar të realizohet lidhja hekurudhore ndërmjet Republikës së Bullgarisë dhe Republikës së Maqedonisë së Veriut, si dhe modernizimi i segmentit Sofje-Pernik-Radomir dhe përfundimi i </w:t>
      </w:r>
      <w:r w:rsidRPr="001D50E3">
        <w:rPr>
          <w:rFonts w:ascii="Arial" w:hAnsi="Arial" w:cs="Arial"/>
        </w:rPr>
        <w:lastRenderedPageBreak/>
        <w:t xml:space="preserve">modernizimit të seksionit Elin Pelin-Kostenec. Zgjerimi i planifikuar i aksesit në rrjetin kryesor TEM-T duke siguruar një lidhje të drejtpërdrejtë rrugore me autostradën Struma në Bullgari, si pjesë e korridorit kryesor Orient/Lindje-Mesdhe, do të forcojë lidhjen rajonale dhe lëvizshmërinë ndërkufitare. </w:t>
      </w:r>
      <w:r w:rsidR="00597CB8" w:rsidRPr="001D50E3">
        <w:rPr>
          <w:rFonts w:ascii="Arial" w:hAnsi="Arial" w:cs="Arial"/>
        </w:rPr>
        <w:t>Men</w:t>
      </w:r>
      <w:r w:rsidRPr="001D50E3">
        <w:rPr>
          <w:rFonts w:ascii="Arial" w:hAnsi="Arial" w:cs="Arial"/>
        </w:rPr>
        <w:t>axhimin efektiv të Rrjetit Kombëtar të Mjedisit dhe mbrojtjen e</w:t>
      </w:r>
    </w:p>
    <w:p w:rsidR="00326128" w:rsidRPr="001D50E3" w:rsidRDefault="00326128" w:rsidP="00754C28">
      <w:pPr>
        <w:spacing w:line="276" w:lineRule="auto"/>
        <w:jc w:val="both"/>
        <w:rPr>
          <w:rFonts w:ascii="Arial" w:hAnsi="Arial" w:cs="Arial"/>
        </w:rPr>
      </w:pPr>
    </w:p>
    <w:p w:rsidR="00326128" w:rsidRPr="001D50E3" w:rsidRDefault="00326128" w:rsidP="00754C28">
      <w:pPr>
        <w:spacing w:line="276" w:lineRule="auto"/>
        <w:jc w:val="both"/>
        <w:rPr>
          <w:rFonts w:ascii="Arial" w:hAnsi="Arial" w:cs="Arial"/>
        </w:rPr>
      </w:pPr>
      <w:r w:rsidRPr="001D50E3">
        <w:rPr>
          <w:rFonts w:ascii="Arial" w:hAnsi="Arial" w:cs="Arial"/>
        </w:rPr>
        <w:t>PRIORITETI 3 ZHVILLIMI I INTEGRUAR I RAJONIT NDËRKUFITAR (Zhvillimi i Integruar Territorial i Rajoneve)</w:t>
      </w:r>
    </w:p>
    <w:p w:rsidR="00326128" w:rsidRPr="001D50E3" w:rsidRDefault="00326128" w:rsidP="00754C28">
      <w:pPr>
        <w:spacing w:line="276" w:lineRule="auto"/>
        <w:jc w:val="both"/>
        <w:rPr>
          <w:rFonts w:ascii="Arial" w:hAnsi="Arial" w:cs="Arial"/>
        </w:rPr>
      </w:pPr>
      <w:r w:rsidRPr="001D50E3">
        <w:rPr>
          <w:rFonts w:ascii="Arial" w:hAnsi="Arial" w:cs="Arial"/>
        </w:rPr>
        <w:t>Ndërhyrja në Programin e Zhvillimit Rajonal 2021-2027 sipas Prioritetit 1: Zhvillimi i Integruar Urban dhe Prioriteti 2: Zhvillimi i Integruar Territorial i Rajoneve për zbatimin e masave infrastrukturore që synojnë përmirësimin dhe zhvillimin e kulturës, turizmit, lëvizshmërisë së qëndrueshme urbane, tran</w:t>
      </w:r>
      <w:r w:rsidR="00597CB8" w:rsidRPr="001D50E3">
        <w:rPr>
          <w:rFonts w:ascii="Arial" w:hAnsi="Arial" w:cs="Arial"/>
        </w:rPr>
        <w:t xml:space="preserve">sportit dixhital dhe të sigurt </w:t>
      </w:r>
      <w:r w:rsidRPr="001D50E3">
        <w:rPr>
          <w:rFonts w:ascii="Arial" w:hAnsi="Arial" w:cs="Arial"/>
        </w:rPr>
        <w:t>masat për përmirësimin e cilësisë së mjedisit si infrastruktura e gjelbër, masat për stimulimin e aktivitetit ekonomik, investimet në infrastrukturën teknike për zhvillimin e zonave industriale apo infrastrukturë tjetër për zhvillimin e aktiviteteve ekonomike dhe mbështetje për inovacionin dhe zhvillimin e NVM-ve.</w:t>
      </w:r>
    </w:p>
    <w:p w:rsidR="00326128" w:rsidRPr="001D50E3" w:rsidRDefault="00326128" w:rsidP="00754C28">
      <w:pPr>
        <w:spacing w:line="276" w:lineRule="auto"/>
        <w:jc w:val="both"/>
        <w:rPr>
          <w:rFonts w:ascii="Arial" w:hAnsi="Arial" w:cs="Arial"/>
        </w:rPr>
      </w:pPr>
      <w:r w:rsidRPr="001D50E3">
        <w:rPr>
          <w:rFonts w:ascii="Arial" w:hAnsi="Arial" w:cs="Arial"/>
        </w:rPr>
        <w:t>INTERREG IPA Greqi - Republika e Maqedonisë Veriore 2021-2027 (Rajoni planor Juglindor i Republikës së Maqedonisë Veriore) parasheh masa të fokusuara në mbështetjen e sipërmarrjes dhe startup-eve, të orientuara drejt produkteve dhe shërbimeve ndërkufitare, turizmit, transferimit të njohurive dhe TIK-ut.</w:t>
      </w:r>
    </w:p>
    <w:p w:rsidR="00326128" w:rsidRPr="001D50E3" w:rsidRDefault="00326128" w:rsidP="00754C28">
      <w:pPr>
        <w:spacing w:line="276" w:lineRule="auto"/>
        <w:jc w:val="both"/>
        <w:rPr>
          <w:rFonts w:ascii="Arial" w:hAnsi="Arial" w:cs="Arial"/>
        </w:rPr>
      </w:pPr>
      <w:r w:rsidRPr="001D50E3">
        <w:rPr>
          <w:rFonts w:ascii="Arial" w:hAnsi="Arial" w:cs="Arial"/>
        </w:rPr>
        <w:t>Instrumenti IPA III për Republikën e Maqedonisë së Veriut ofron ndihmë të konsiderueshme që plotëson mbështetjen e madhe të financuar nga BE në rajon. Në kuadër të programit PGS-IPA III, Programi i BE-së i Prespës shihet si një instrument që intensifikon angazhimin e përbashkët të dy vendeve për të përshpejtuar Axhendën e Gjelbër në territoret e tyre. Pavarësisht nga fakti se mbulimi gjeografik i programit të BE-së në Prespa nuk përkon me zonën e programit të bashkëpunimit ndërkufitar, vlera e shtuar e nismës së Prespës plotëson punën e vazhdueshme në të gjithë rajonin fqinj dhe sinergjitë e krijuara përfitojnë të gjithë zonën.</w:t>
      </w:r>
    </w:p>
    <w:p w:rsidR="00326128" w:rsidRPr="001D50E3" w:rsidRDefault="00326128" w:rsidP="00754C28">
      <w:pPr>
        <w:spacing w:line="276" w:lineRule="auto"/>
        <w:jc w:val="both"/>
        <w:rPr>
          <w:rFonts w:ascii="Arial" w:hAnsi="Arial" w:cs="Arial"/>
        </w:rPr>
      </w:pPr>
      <w:r w:rsidRPr="001D50E3">
        <w:rPr>
          <w:rFonts w:ascii="Arial" w:hAnsi="Arial" w:cs="Arial"/>
        </w:rPr>
        <w:t>Fusha e politikave, ku të dy programet janë më plotësuesit, është Axhenda e Gjelbër, ku shtyllat e ndryshme të biodiversitetit janë qendrore. Një mjet i përshtatshëm për ndërtimin e sinergjive midis dy programeve mund të jetë zbatimi i aktiviteteve paralele ose të njëpasnjëshme në territore të ndryshme, por ngjitur, me qëllim përmirësimin e përshkueshmërisë mjedisore dhe zgjerimin e korridoreve mjedisore nga lindja në perëndim dhe për të mbështetur zhvillimin e produkteve të turizmit të qëndrueshëm. .</w:t>
      </w:r>
    </w:p>
    <w:p w:rsidR="00326128" w:rsidRPr="001D50E3" w:rsidRDefault="00326128" w:rsidP="00754C28">
      <w:pPr>
        <w:spacing w:line="276" w:lineRule="auto"/>
        <w:jc w:val="both"/>
        <w:rPr>
          <w:rFonts w:ascii="Arial" w:hAnsi="Arial" w:cs="Arial"/>
        </w:rPr>
      </w:pPr>
      <w:r w:rsidRPr="001D50E3">
        <w:rPr>
          <w:rFonts w:ascii="Arial" w:hAnsi="Arial" w:cs="Arial"/>
        </w:rPr>
        <w:t>Përveç kërkesës për komplementaritet ndërmjet programeve të financuara nga BE-ja, konsistenca u kërkua edhe në nivelin e politikave të BE-së, veçanërisht midis fushës së politikës së kufirit të jashtëm dhe zgjerimit në kontekstin e Procesit të Berlinit.</w:t>
      </w:r>
    </w:p>
    <w:p w:rsidR="00326128" w:rsidRPr="001D50E3" w:rsidRDefault="00326128" w:rsidP="00754C28">
      <w:pPr>
        <w:spacing w:line="276" w:lineRule="auto"/>
        <w:jc w:val="both"/>
        <w:rPr>
          <w:rFonts w:ascii="Arial" w:hAnsi="Arial" w:cs="Arial"/>
        </w:rPr>
      </w:pPr>
      <w:r w:rsidRPr="001D50E3">
        <w:rPr>
          <w:rFonts w:ascii="Arial" w:hAnsi="Arial" w:cs="Arial"/>
        </w:rPr>
        <w:t>Programi ka një ndikim potencialisht të fortë në progresin e zbatimit të 5 nga 6 nismat kryesore të Strategjisë BE-Ballkani Perëndimor.</w:t>
      </w:r>
    </w:p>
    <w:p w:rsidR="00326128" w:rsidRPr="001D50E3" w:rsidRDefault="00326128" w:rsidP="00754C28">
      <w:pPr>
        <w:spacing w:line="276" w:lineRule="auto"/>
        <w:jc w:val="both"/>
        <w:rPr>
          <w:rFonts w:ascii="Arial" w:hAnsi="Arial" w:cs="Arial"/>
        </w:rPr>
      </w:pPr>
      <w:r w:rsidRPr="001D50E3">
        <w:rPr>
          <w:rFonts w:ascii="Arial" w:hAnsi="Arial" w:cs="Arial"/>
        </w:rPr>
        <w:t xml:space="preserve">Zhvillimi i biznesit konsiderohet kryesisht si zona më e favorshme për politikat kumulative të BE-së dhe ndërhyrjet financiare në Ballkanin Perëndimor (i ashtuquajturi WB6) dhe në zonën ndërkufitare. Duke ofruar mbështetje për bizneset ndërkufitare për të përvetësuar dhe bashkuar zinxhirët ndërkombëtarë të vlerave, Programi plotëson përpjekjet e Forumit të Investimeve të </w:t>
      </w:r>
      <w:r w:rsidRPr="001D50E3">
        <w:rPr>
          <w:rFonts w:ascii="Arial" w:hAnsi="Arial" w:cs="Arial"/>
        </w:rPr>
        <w:lastRenderedPageBreak/>
        <w:t>Dhomës së Tregtisë së Ballkanit Perëndimor 6 (WB6 CIF) për të lehtësuar kontaktet ndërsektoriale dhe për të promovuar Ballkanin Perëndimor (WB6) si një destinacion investimi.</w:t>
      </w:r>
    </w:p>
    <w:p w:rsidR="00326128" w:rsidRPr="001D50E3" w:rsidRDefault="00326128" w:rsidP="00754C28">
      <w:pPr>
        <w:spacing w:line="276" w:lineRule="auto"/>
        <w:jc w:val="both"/>
        <w:rPr>
          <w:rFonts w:ascii="Arial" w:hAnsi="Arial" w:cs="Arial"/>
        </w:rPr>
      </w:pPr>
      <w:r w:rsidRPr="001D50E3">
        <w:rPr>
          <w:rFonts w:ascii="Arial" w:hAnsi="Arial" w:cs="Arial"/>
        </w:rPr>
        <w:t>Prandaj, programi zgjeron mundësitë për rrjetëzimin e komuniteteve të biznesit ndërmjet zonës ndërkufitare dhe rajonit të Ballkanit Perëndimor dhe në këtë mënyrë krijon perspektivën e shfaqjes së zinxhirëve të vlerave ballkanike (të theksuara në Dokumentin e Orientimit Kufitar).</w:t>
      </w:r>
    </w:p>
    <w:p w:rsidR="00326128" w:rsidRPr="001D50E3" w:rsidRDefault="00326128" w:rsidP="00754C28">
      <w:pPr>
        <w:spacing w:line="276" w:lineRule="auto"/>
        <w:jc w:val="both"/>
        <w:rPr>
          <w:rFonts w:ascii="Arial" w:hAnsi="Arial" w:cs="Arial"/>
        </w:rPr>
      </w:pPr>
      <w:r w:rsidRPr="001D50E3">
        <w:rPr>
          <w:rFonts w:ascii="Arial" w:hAnsi="Arial" w:cs="Arial"/>
        </w:rPr>
        <w:t>Programi luan një rol kyç në Axhendën e Lidhshmërisë ZB6, dhe pjesërisht në Iniciativën kryesore për Sigurinë dhe Migracionin, duke hedhur themelet për lëvizjen më të lehtë dhe më të shpejtë të qytetarëve, bizneseve dhe kapitalit ndërmjet Ballkanit Perëndimor dhe BE-së përmes ndërtimit të një të re Pika kufitare (PKK) Klepalo në kufirin ndërmjet Republikës së Bullgarisë dhe Republikës së Maqedonisë së Veriut.</w:t>
      </w:r>
    </w:p>
    <w:p w:rsidR="00326128" w:rsidRPr="001D50E3" w:rsidRDefault="00326128" w:rsidP="00754C28">
      <w:pPr>
        <w:spacing w:line="276" w:lineRule="auto"/>
        <w:jc w:val="both"/>
        <w:rPr>
          <w:rFonts w:ascii="Arial" w:hAnsi="Arial" w:cs="Arial"/>
        </w:rPr>
      </w:pPr>
      <w:r w:rsidRPr="001D50E3">
        <w:rPr>
          <w:rFonts w:ascii="Arial" w:hAnsi="Arial" w:cs="Arial"/>
        </w:rPr>
        <w:t>Sipas Prioritetit 3, Zhvillimi i Integruar Ndërkufitar, Programi do të kërkojë të zgjerojë lidhjen tokësore duke mbështetur zhvillimin e lëvizshmërisë alternative, duke përfshirë një rrjet shtigjesh për biçikleta, pyje "të pista" dhe rrugë fshatare, heliporte, etj.</w:t>
      </w:r>
    </w:p>
    <w:p w:rsidR="00326128" w:rsidRPr="001D50E3" w:rsidRDefault="00326128" w:rsidP="00754C28">
      <w:pPr>
        <w:spacing w:line="276" w:lineRule="auto"/>
        <w:jc w:val="both"/>
        <w:rPr>
          <w:rFonts w:ascii="Arial" w:hAnsi="Arial" w:cs="Arial"/>
        </w:rPr>
      </w:pPr>
      <w:r w:rsidRPr="001D50E3">
        <w:rPr>
          <w:rFonts w:ascii="Arial" w:hAnsi="Arial" w:cs="Arial"/>
        </w:rPr>
        <w:t>Programi trajton prioritetet e Axhendës së Gjelbër të Ballkanit Perëndimor (BB6) në drejtim të mbrojtjes dhe restaurimit të ekosistemit. Kontributi i Programit për këtë qëllim shkon në formën e projekteve të vogla që mbështesin zhvillimin e infrastrukturës së gjelbër për të rritur përshkueshmërinë mjedisore dhe për të parandaluar humbjen e biodiversitetit.</w:t>
      </w:r>
    </w:p>
    <w:p w:rsidR="00326128" w:rsidRPr="001D50E3" w:rsidRDefault="00326128" w:rsidP="00754C28">
      <w:pPr>
        <w:spacing w:line="276" w:lineRule="auto"/>
        <w:jc w:val="both"/>
        <w:rPr>
          <w:rFonts w:ascii="Arial" w:hAnsi="Arial" w:cs="Arial"/>
        </w:rPr>
      </w:pPr>
      <w:r w:rsidRPr="001D50E3">
        <w:rPr>
          <w:rFonts w:ascii="Arial" w:hAnsi="Arial" w:cs="Arial"/>
        </w:rPr>
        <w:t>Themelet strategjike (Axhenda Dixhitale për Ballkanin Perëndimor) dhe përqendrimi i Programit ndërtojnë sinergji të forta (në fushën e ekonomisë dhe shoqërisë dixhitale) dhe marrin rrugë identike për t'i bërë qytetarët e Ballkanit Perëndimor (WP6) d</w:t>
      </w:r>
      <w:r w:rsidR="00597CB8" w:rsidRPr="001D50E3">
        <w:rPr>
          <w:rFonts w:ascii="Arial" w:hAnsi="Arial" w:cs="Arial"/>
        </w:rPr>
        <w:t xml:space="preserve">he zonës PG plotësisht të aftë </w:t>
      </w:r>
      <w:r w:rsidRPr="001D50E3">
        <w:rPr>
          <w:rFonts w:ascii="Arial" w:hAnsi="Arial" w:cs="Arial"/>
        </w:rPr>
        <w:t>të korrjes së përfitimeve të transformimit dixhital të shpejtë dhe të pashmangshëm.</w:t>
      </w:r>
    </w:p>
    <w:p w:rsidR="00326128" w:rsidRPr="001D50E3" w:rsidRDefault="00326128" w:rsidP="00754C28">
      <w:pPr>
        <w:spacing w:line="276" w:lineRule="auto"/>
        <w:jc w:val="both"/>
        <w:rPr>
          <w:rFonts w:ascii="Arial" w:hAnsi="Arial" w:cs="Arial"/>
        </w:rPr>
      </w:pPr>
      <w:r w:rsidRPr="001D50E3">
        <w:rPr>
          <w:rFonts w:ascii="Arial" w:hAnsi="Arial" w:cs="Arial"/>
        </w:rPr>
        <w:t xml:space="preserve">E fundit, por jo më pak e rëndësishme, pavarësisht mosmarrëveshjeve të vazhdueshme politike midis Republikës së Bullgarisë dhe Republikës së Maqedonisë së Veriut, Programi dërgon një mesazh pozitiv për të gjithë të interesuarit se kur mbahen marrëdhëniet e fqinjësisë së mirë në nivel territorial, mosmarrëveshjet </w:t>
      </w:r>
      <w:r w:rsidR="00AF4A28" w:rsidRPr="001D50E3">
        <w:rPr>
          <w:rFonts w:ascii="Arial" w:hAnsi="Arial" w:cs="Arial"/>
        </w:rPr>
        <w:t>dypalëshe nuk janë më pengesë. D</w:t>
      </w:r>
      <w:r w:rsidRPr="001D50E3">
        <w:rPr>
          <w:rFonts w:ascii="Arial" w:hAnsi="Arial" w:cs="Arial"/>
        </w:rPr>
        <w:t>rejt rritjes dhe prosperitetit.</w:t>
      </w:r>
    </w:p>
    <w:p w:rsidR="00326128" w:rsidRPr="001D50E3" w:rsidRDefault="00326128" w:rsidP="00754C28">
      <w:pPr>
        <w:spacing w:line="276" w:lineRule="auto"/>
        <w:jc w:val="both"/>
        <w:rPr>
          <w:rFonts w:ascii="Arial" w:hAnsi="Arial" w:cs="Arial"/>
        </w:rPr>
      </w:pPr>
      <w:r w:rsidRPr="001D50E3">
        <w:rPr>
          <w:rFonts w:ascii="Arial" w:hAnsi="Arial" w:cs="Arial"/>
        </w:rPr>
        <w:t xml:space="preserve">Për sa i përket zbatimit të qasjes së koordinimit ndërprogramor për përballimin e sfidave gjeografike dhe tematike dhe për lehtësimin e sinergjive ndërprogramore, organet drejtuese do të ndjekin dy rrugë: 1) Ftesa për përfaqësuesit e organeve qeverisëse të të gjitha përkatëseve (atyre të të cilëve gjeografikisht mbulimi mbulon fushën e CGS) Programet e financimit të BE-së për SHA / WGD të Programit; dhe 2) Krijimi i grupeve tematike ndërprogramore të punës dhe shkëmbimi i stafit/ekspertëve në fazën e përgatitjes së Udhëzimeve për aplikantët. </w:t>
      </w:r>
    </w:p>
    <w:p w:rsidR="00326128" w:rsidRPr="001D50E3" w:rsidRDefault="00326128" w:rsidP="00754C28">
      <w:pPr>
        <w:spacing w:line="276" w:lineRule="auto"/>
        <w:jc w:val="both"/>
        <w:rPr>
          <w:rFonts w:ascii="Arial" w:hAnsi="Arial" w:cs="Arial"/>
        </w:rPr>
      </w:pPr>
      <w:r w:rsidRPr="001D50E3">
        <w:rPr>
          <w:rFonts w:ascii="Arial" w:hAnsi="Arial" w:cs="Arial"/>
        </w:rPr>
        <w:t>5. MËSIMET E MJERA NGA EKSPERIENCA E KALUAR</w:t>
      </w:r>
    </w:p>
    <w:p w:rsidR="00326128" w:rsidRPr="001D50E3" w:rsidRDefault="00326128" w:rsidP="00754C28">
      <w:pPr>
        <w:spacing w:line="276" w:lineRule="auto"/>
        <w:jc w:val="both"/>
        <w:rPr>
          <w:rFonts w:ascii="Arial" w:hAnsi="Arial" w:cs="Arial"/>
        </w:rPr>
      </w:pPr>
      <w:r w:rsidRPr="001D50E3">
        <w:rPr>
          <w:rFonts w:ascii="Arial" w:hAnsi="Arial" w:cs="Arial"/>
        </w:rPr>
        <w:t>Pavarësisht përqendrimit tematik të imponuar nga rregulloret e BE-së në periudhën 2014-2020, fushat e ndërhyrjes të përcaktuara në programin INTERREG IPA PBS 2014-2020 mbeten ende mjaft të ndryshme dhe pa asnjë ndërvarësi.</w:t>
      </w:r>
    </w:p>
    <w:p w:rsidR="00326128" w:rsidRPr="001D50E3" w:rsidRDefault="00326128" w:rsidP="00754C28">
      <w:pPr>
        <w:spacing w:line="276" w:lineRule="auto"/>
        <w:jc w:val="both"/>
        <w:rPr>
          <w:rFonts w:ascii="Arial" w:hAnsi="Arial" w:cs="Arial"/>
        </w:rPr>
      </w:pPr>
      <w:r w:rsidRPr="001D50E3">
        <w:rPr>
          <w:rFonts w:ascii="Arial" w:hAnsi="Arial" w:cs="Arial"/>
        </w:rPr>
        <w:t>Pavarësisht burimeve të kufizuara (madje të reduktuara në periudhën 2014-2020) financiare, interesi për programin mbeti i lartë në të dyja periudhat e programimit. Në periudhën 2007-2013 - në kuadër të 3 thirrjeve të hapura janë dorëzuar 320 projekte dhe janë nënshkruar 100 kontrata, ndërsa në periudhën 2014-2020 - në 2 thirrjet e hapura janë dorëzuar 379 projekte dhe janë nënshkruar 73 projekte.</w:t>
      </w:r>
    </w:p>
    <w:p w:rsidR="00326128" w:rsidRPr="001D50E3" w:rsidRDefault="00326128" w:rsidP="00754C28">
      <w:pPr>
        <w:spacing w:line="276" w:lineRule="auto"/>
        <w:jc w:val="both"/>
        <w:rPr>
          <w:rFonts w:ascii="Arial" w:hAnsi="Arial" w:cs="Arial"/>
        </w:rPr>
      </w:pPr>
      <w:r w:rsidRPr="001D50E3">
        <w:rPr>
          <w:rFonts w:ascii="Arial" w:hAnsi="Arial" w:cs="Arial"/>
        </w:rPr>
        <w:lastRenderedPageBreak/>
        <w:t>Kjo tregon se më shumë se 75% e projekt-propozimeve nuk u financuan dhe se investimet e shpërndara të sektorit të bazuara në thirrje të hapura çuan nga njëra anë në konkurrencë të fortë dhe pritshmëri të larta të përfituesve potencialë, dhe nga ana tjetër në të fragmentuara dhe "pikë- ndërhyrje”, disa prej të cilave nuk lidheshin drejtpërdrejt me nevojat reale dhe potencialin e rajonit ndërkufitar. Përkundër interesimit të lartë të treguar, kompetenca e ulët e disa përfituesve për zbatimin e projekteve të masave të caktuara dhe niveli i ulët i partneritetit ndërmjet sektorit publik dhe atij joqeveritar kontribuan në kapitalizimin e pamjaftueshëm të rezultateve të projektit. Për më tepër, rraskapitja është vërejtur në gjenerimi</w:t>
      </w:r>
      <w:r w:rsidR="00AF4A28" w:rsidRPr="001D50E3">
        <w:rPr>
          <w:rFonts w:ascii="Arial" w:hAnsi="Arial" w:cs="Arial"/>
        </w:rPr>
        <w:t>n e ideve të projektit - p.sh. R</w:t>
      </w:r>
      <w:r w:rsidRPr="001D50E3">
        <w:rPr>
          <w:rFonts w:ascii="Arial" w:hAnsi="Arial" w:cs="Arial"/>
        </w:rPr>
        <w:t>ritje e numrit të projekteve, me ide/qëllime të ngjashme tashmë të financuara dhe në të gjitha thirrjet shumica e aplikantëve janë e njëjta organizatë/institucion.</w:t>
      </w:r>
    </w:p>
    <w:p w:rsidR="00326128" w:rsidRPr="001D50E3" w:rsidRDefault="00326128" w:rsidP="00754C28">
      <w:pPr>
        <w:spacing w:line="276" w:lineRule="auto"/>
        <w:jc w:val="both"/>
        <w:rPr>
          <w:rFonts w:ascii="Arial" w:hAnsi="Arial" w:cs="Arial"/>
        </w:rPr>
      </w:pPr>
      <w:r w:rsidRPr="001D50E3">
        <w:rPr>
          <w:rFonts w:ascii="Arial" w:hAnsi="Arial" w:cs="Arial"/>
        </w:rPr>
        <w:t>Vlerësimi i ndikimit të programit 2007-2013, si dhe vlerësimi afatmesëm i programit 2014-2020, tregoi se, në përputhje me diversitetin e sferave të ndërhyrjes, u dha një numër dhe gamë e gjerë rezultatesh. . Nga pikëpamja financiare, ekziston një mospërputhje drastike midis fondeve në dispozicion, të kërkuara dhe të dakorduara - mesatarisht, buxheti total i të gjitha aplikacioneve tejkalon atë të disponueshëm me 345%, ndërsa vetëm 20% e totalit të financimit të kërkuar është dakorduar.</w:t>
      </w:r>
    </w:p>
    <w:p w:rsidR="00326128" w:rsidRPr="001D50E3" w:rsidRDefault="00326128" w:rsidP="00754C28">
      <w:pPr>
        <w:spacing w:line="276" w:lineRule="auto"/>
        <w:jc w:val="both"/>
        <w:rPr>
          <w:rFonts w:ascii="Arial" w:hAnsi="Arial" w:cs="Arial"/>
        </w:rPr>
      </w:pPr>
      <w:r w:rsidRPr="001D50E3">
        <w:rPr>
          <w:rFonts w:ascii="Arial" w:hAnsi="Arial" w:cs="Arial"/>
        </w:rPr>
        <w:t>Shpesh, ky disproporcion financiar është një parakusht për efekte të dobëta programore në aspektin e efikasitetit dhe qëndrueshmërisë.</w:t>
      </w:r>
    </w:p>
    <w:p w:rsidR="00326128" w:rsidRPr="001D50E3" w:rsidRDefault="00326128" w:rsidP="00754C28">
      <w:pPr>
        <w:spacing w:line="276" w:lineRule="auto"/>
        <w:jc w:val="both"/>
        <w:rPr>
          <w:rFonts w:ascii="Arial" w:hAnsi="Arial" w:cs="Arial"/>
        </w:rPr>
      </w:pPr>
      <w:r w:rsidRPr="001D50E3">
        <w:rPr>
          <w:rFonts w:ascii="Arial" w:hAnsi="Arial" w:cs="Arial"/>
        </w:rPr>
        <w:t>Prandaj është e vështirë që programi të sjellë përfitime për komunitetet, të intensifikojë efektet e tij për rajonin dhe veçanërisht vlerën e shtuar të arritur përmes bashkëpunimit.</w:t>
      </w:r>
    </w:p>
    <w:p w:rsidR="00326128" w:rsidRPr="001D50E3" w:rsidRDefault="00326128" w:rsidP="00754C28">
      <w:pPr>
        <w:spacing w:line="276" w:lineRule="auto"/>
        <w:jc w:val="both"/>
        <w:rPr>
          <w:rFonts w:ascii="Arial" w:hAnsi="Arial" w:cs="Arial"/>
        </w:rPr>
      </w:pPr>
      <w:r w:rsidRPr="001D50E3">
        <w:rPr>
          <w:rFonts w:ascii="Arial" w:hAnsi="Arial" w:cs="Arial"/>
        </w:rPr>
        <w:t>Në këtë drejtim, për të arritur një ndikim të dukshëm, u rekomandua një qasje e re, më e orientuar drejt rezultateve në zbatimin e programeve të ardhshme. Pritet që fokusi më i mirë i programit të forcojë lidhjet ndërmjet nevojave dhe burimeve (duke përqendruar më shumë burime në zonat më të kërkuara të ndërhyrjes) duke gjeneruar kështu efekte proporcionale dhe të qëndrueshme në territor.</w:t>
      </w:r>
    </w:p>
    <w:p w:rsidR="00326128" w:rsidRPr="001D50E3" w:rsidRDefault="00326128" w:rsidP="00754C28">
      <w:pPr>
        <w:spacing w:line="276" w:lineRule="auto"/>
        <w:jc w:val="both"/>
        <w:rPr>
          <w:rFonts w:ascii="Arial" w:hAnsi="Arial" w:cs="Arial"/>
        </w:rPr>
      </w:pPr>
      <w:r w:rsidRPr="001D50E3">
        <w:rPr>
          <w:rFonts w:ascii="Arial" w:hAnsi="Arial" w:cs="Arial"/>
        </w:rPr>
        <w:t>6. STRATEGJITË MAKRORAJONALE (ZKM)</w:t>
      </w:r>
    </w:p>
    <w:p w:rsidR="00326128" w:rsidRPr="001D50E3" w:rsidRDefault="00326128" w:rsidP="00754C28">
      <w:pPr>
        <w:spacing w:line="276" w:lineRule="auto"/>
        <w:jc w:val="both"/>
        <w:rPr>
          <w:rFonts w:ascii="Arial" w:hAnsi="Arial" w:cs="Arial"/>
        </w:rPr>
      </w:pPr>
      <w:r w:rsidRPr="001D50E3">
        <w:rPr>
          <w:rFonts w:ascii="Arial" w:hAnsi="Arial" w:cs="Arial"/>
        </w:rPr>
        <w:t>Sfidat territoriale të adresuara nga Programi i Bashkëpunimit Ndërkufitar (p.sh. kërcënimet mjedisore, zhvillimi i pabarabartë socio-ekonomik, arsimi i pakoordinuar, sistemet e kërkimit dhe inovacioni) njihen gjithashtu si të tilla në Strategjinë e Danubit - EUSDR (Republika) Bullgari) dhe në Strategji për Rajonin e Adriatikut dhe Jonit - EUAIRS (Republika e Maqedonisë së Veriut).</w:t>
      </w:r>
    </w:p>
    <w:p w:rsidR="00326128" w:rsidRPr="001D50E3" w:rsidRDefault="00326128" w:rsidP="00754C28">
      <w:pPr>
        <w:spacing w:line="276" w:lineRule="auto"/>
        <w:jc w:val="both"/>
        <w:rPr>
          <w:rFonts w:ascii="Arial" w:hAnsi="Arial" w:cs="Arial"/>
        </w:rPr>
      </w:pPr>
      <w:r w:rsidRPr="001D50E3">
        <w:rPr>
          <w:rFonts w:ascii="Arial" w:hAnsi="Arial" w:cs="Arial"/>
        </w:rPr>
        <w:t>Kjo hap mundësi për përafrimin e prioriteteve përkatëse të Programit të Bashkëpunimit Ndërkufitar me dy IRA-të dhe për përfshirjen e kësaj të fundit në kuadrin strategjik të programit të referencës. Megjithatë, zona e programit nuk është afër as Danubit dhe as pellgut të Adriatikut dhe Jonit. Kjo rrethanë lejon që MRS të inkorporohet kryesisht nga këndvështrimi i sinergjive dhe kontributeve indirekte. Në veçanti, sinergjitë dhe koordinimi i veprimeve ndërmjet programit të bashkëpunimit ndërkufitar dhe dy IRA-ve mund të projektohen potencialisht në fushën e kapaciteteve institucionale dhe shkëmbimit të praktikave/dijeve/zgjidhjeve në prioritetet e mëposhtme të SNK:</w:t>
      </w:r>
    </w:p>
    <w:p w:rsidR="00326128" w:rsidRPr="001D50E3" w:rsidRDefault="00326128" w:rsidP="00754C28">
      <w:pPr>
        <w:pBdr>
          <w:top w:val="single" w:sz="4" w:space="1" w:color="auto"/>
          <w:left w:val="single" w:sz="4" w:space="4" w:color="auto"/>
          <w:bottom w:val="single" w:sz="4" w:space="1" w:color="auto"/>
          <w:right w:val="single" w:sz="4" w:space="4" w:color="auto"/>
        </w:pBdr>
        <w:spacing w:after="200" w:line="276" w:lineRule="auto"/>
        <w:jc w:val="both"/>
        <w:rPr>
          <w:rFonts w:ascii="Arial" w:eastAsia="Times New Roman" w:hAnsi="Arial" w:cs="Arial"/>
          <w:b/>
          <w:i/>
          <w:iCs/>
          <w:noProof/>
          <w:lang w:eastAsia="en-GB"/>
        </w:rPr>
      </w:pPr>
      <w:r w:rsidRPr="001D50E3">
        <w:rPr>
          <w:rFonts w:ascii="Arial" w:eastAsia="Times New Roman" w:hAnsi="Arial" w:cs="Arial"/>
          <w:b/>
          <w:i/>
          <w:iCs/>
          <w:noProof/>
          <w:lang w:eastAsia="en-GB"/>
        </w:rPr>
        <w:t>Fusha prioritare 3: "Promovimi i kulturës dhe turizmit, kontaktet mes njerëzve" (EUSRD) dhe Shtylla 4 "Turizmi i Qëndrueshëm" (EUSRS)</w:t>
      </w:r>
    </w:p>
    <w:p w:rsidR="00326128" w:rsidRPr="001D50E3" w:rsidRDefault="00326128" w:rsidP="00754C28">
      <w:pPr>
        <w:pBdr>
          <w:top w:val="single" w:sz="4" w:space="1" w:color="auto"/>
          <w:left w:val="single" w:sz="4" w:space="4" w:color="auto"/>
          <w:bottom w:val="single" w:sz="4" w:space="1" w:color="auto"/>
          <w:right w:val="single" w:sz="4" w:space="4" w:color="auto"/>
        </w:pBdr>
        <w:spacing w:after="200" w:line="276" w:lineRule="auto"/>
        <w:jc w:val="both"/>
        <w:rPr>
          <w:rFonts w:ascii="Arial" w:eastAsia="Times New Roman" w:hAnsi="Arial" w:cs="Arial"/>
          <w:b/>
          <w:i/>
          <w:iCs/>
          <w:noProof/>
          <w:lang w:eastAsia="en-GB"/>
        </w:rPr>
      </w:pPr>
      <w:r w:rsidRPr="001D50E3">
        <w:rPr>
          <w:rFonts w:ascii="Arial" w:eastAsia="Times New Roman" w:hAnsi="Arial" w:cs="Arial"/>
          <w:b/>
          <w:i/>
          <w:iCs/>
          <w:noProof/>
          <w:lang w:eastAsia="en-GB"/>
        </w:rPr>
        <w:lastRenderedPageBreak/>
        <w:t>Një gamë e konsiderueshme e aktiviteteve të Programit BNK, të cilat do të mbështeten në kuadër të prioritetit "Zhvillimi i Integruar i Rajonit Kufitar", do të fokusohen në turizëm. Investimet pritet të përmirësojnë infrastrukturën dhe shërbimet në lidhje me turizmin, markimin dhe marketingun, si dhe të forcojnë koordinimin ndërinstitucional dhe zhvillimin e politikave, duke inkurajuar ruajtjen dhe rilidhjen me ekosistemet natyrore në kërkim të një komuniteti të qëndrueshëm turistik ndërkufitar. Marrëdhëniet midis njerëzve janë në thelb të këtij komuniteti.</w:t>
      </w:r>
    </w:p>
    <w:p w:rsidR="00326128" w:rsidRPr="001D50E3" w:rsidRDefault="00326128" w:rsidP="00754C28">
      <w:pPr>
        <w:pBdr>
          <w:top w:val="single" w:sz="4" w:space="1" w:color="auto"/>
          <w:left w:val="single" w:sz="4" w:space="4" w:color="auto"/>
          <w:bottom w:val="single" w:sz="4" w:space="1" w:color="auto"/>
          <w:right w:val="single" w:sz="4" w:space="4" w:color="auto"/>
        </w:pBdr>
        <w:spacing w:after="200" w:line="276" w:lineRule="auto"/>
        <w:jc w:val="both"/>
        <w:rPr>
          <w:rFonts w:ascii="Arial" w:eastAsia="Times New Roman" w:hAnsi="Arial" w:cs="Arial"/>
          <w:b/>
          <w:i/>
          <w:iCs/>
          <w:noProof/>
          <w:lang w:eastAsia="en-GB"/>
        </w:rPr>
      </w:pPr>
      <w:r w:rsidRPr="001D50E3">
        <w:rPr>
          <w:rFonts w:ascii="Arial" w:eastAsia="Times New Roman" w:hAnsi="Arial" w:cs="Arial"/>
          <w:b/>
          <w:i/>
          <w:iCs/>
          <w:noProof/>
          <w:lang w:eastAsia="en-GB"/>
        </w:rPr>
        <w:t>Fushat prioritare: 5 "Rreziqet mjedisore", 6 "Biodiversiteti, peizazhet, cilësia e ajrit dhe tokës" dhe 10 "Kapaciteti dhe bashkëpunimi institucional" (EUSRD) dhe Shtylla 3 "Cilësia e Mjedisit" (EUSRS)</w:t>
      </w:r>
    </w:p>
    <w:p w:rsidR="00326128" w:rsidRPr="001D50E3" w:rsidRDefault="00326128" w:rsidP="00754C28">
      <w:pPr>
        <w:pBdr>
          <w:top w:val="single" w:sz="4" w:space="1" w:color="auto"/>
          <w:left w:val="single" w:sz="4" w:space="4" w:color="auto"/>
          <w:bottom w:val="single" w:sz="4" w:space="1" w:color="auto"/>
          <w:right w:val="single" w:sz="4" w:space="4" w:color="auto"/>
        </w:pBdr>
        <w:spacing w:after="200" w:line="276" w:lineRule="auto"/>
        <w:jc w:val="both"/>
        <w:rPr>
          <w:rFonts w:ascii="Arial" w:eastAsia="Times New Roman" w:hAnsi="Arial" w:cs="Arial"/>
          <w:b/>
          <w:i/>
          <w:iCs/>
          <w:noProof/>
          <w:lang w:eastAsia="en-GB"/>
        </w:rPr>
      </w:pPr>
      <w:r w:rsidRPr="001D50E3">
        <w:rPr>
          <w:rFonts w:ascii="Arial" w:eastAsia="Times New Roman" w:hAnsi="Arial" w:cs="Arial"/>
          <w:b/>
          <w:i/>
          <w:iCs/>
          <w:noProof/>
          <w:lang w:eastAsia="en-GB"/>
        </w:rPr>
        <w:t>Sipas Prioritetit 1 “Rajoni Kufitar më i Gjelbër”, Programi i Bashkëpunimit Ndërkufitar do të kërkojë përmirësimin e infrastrukturës së gjelbër si një mjet për mbrojtjen dhe zgjerimin e lidhjeve ekologjike, si dhe për të parandaluar humbjen e biodiversitetit dhe kolapsin e ekosistemit. Autoritetet publike njihen gjithnjë e më shumë si ofruesit kryesorë të shërbimeve të ekosistemit në ndërtimin dhe rinovimin e hapësirave të gjelbra, prandaj, promovimi i praktikave për të forcuar kapacitetet institucionale për t'iu përshtatur ndryshimeve klimatike, së bashku me përhapjen e zgjidhjeve të gjelbërimit, do të kontribuojë në një ndikim të vlefshëm në arritje. Për</w:t>
      </w:r>
      <w:r w:rsidR="00597CB8" w:rsidRPr="001D50E3">
        <w:rPr>
          <w:rFonts w:ascii="Arial" w:eastAsia="Times New Roman" w:hAnsi="Arial" w:cs="Arial"/>
          <w:b/>
          <w:i/>
          <w:iCs/>
          <w:noProof/>
          <w:lang w:eastAsia="en-GB"/>
        </w:rPr>
        <w:t xml:space="preserve"> qëllimet e EUSR-së dhe EUSR-së</w:t>
      </w:r>
    </w:p>
    <w:p w:rsidR="00060D84" w:rsidRPr="001D50E3" w:rsidRDefault="00060D84" w:rsidP="00060D84">
      <w:pPr>
        <w:jc w:val="both"/>
        <w:rPr>
          <w:rFonts w:ascii="Arial" w:hAnsi="Arial" w:cs="Arial"/>
        </w:rPr>
      </w:pPr>
      <w:r w:rsidRPr="001D50E3">
        <w:rPr>
          <w:rFonts w:ascii="Arial" w:hAnsi="Arial" w:cs="Arial"/>
        </w:rPr>
        <w:t>1.3. Arsyetimi për zgjedhjen e objektivave të politikës dhe objektivave specifike të Interreg, prioritetet e duhura, objektivat specifike dhe format e mbështetjes, duke adresuar, aty ku është e përshtatshme, hallkat që mungojnë në infrastrukturën ndërkufitare</w:t>
      </w:r>
    </w:p>
    <w:p w:rsidR="00754C28" w:rsidRPr="00754C28" w:rsidRDefault="00060D84" w:rsidP="00060D84">
      <w:pPr>
        <w:jc w:val="both"/>
        <w:rPr>
          <w:rFonts w:ascii="Arial" w:hAnsi="Arial" w:cs="Arial"/>
          <w:lang w:val="mk-MK"/>
        </w:rPr>
      </w:pPr>
      <w:r w:rsidRPr="001D50E3">
        <w:rPr>
          <w:rFonts w:ascii="Arial" w:hAnsi="Arial" w:cs="Arial"/>
        </w:rPr>
        <w:t>Referenca: pika (c) e nenit 17 (3)</w:t>
      </w:r>
    </w:p>
    <w:p w:rsidR="00326128" w:rsidRPr="001D50E3" w:rsidRDefault="00060D84" w:rsidP="00060D84">
      <w:pPr>
        <w:jc w:val="both"/>
        <w:rPr>
          <w:rFonts w:ascii="Arial" w:hAnsi="Arial" w:cs="Arial"/>
        </w:rPr>
      </w:pPr>
      <w:r w:rsidRPr="001D50E3">
        <w:rPr>
          <w:rFonts w:ascii="Arial" w:hAnsi="Arial" w:cs="Arial"/>
        </w:rPr>
        <w:t>Tabela 1</w:t>
      </w:r>
    </w:p>
    <w:tbl>
      <w:tblPr>
        <w:tblStyle w:val="TableGrid1"/>
        <w:tblW w:w="5000" w:type="pct"/>
        <w:tblLook w:val="04A0" w:firstRow="1" w:lastRow="0" w:firstColumn="1" w:lastColumn="0" w:noHBand="0" w:noVBand="1"/>
      </w:tblPr>
      <w:tblGrid>
        <w:gridCol w:w="1561"/>
        <w:gridCol w:w="23"/>
        <w:gridCol w:w="117"/>
        <w:gridCol w:w="130"/>
        <w:gridCol w:w="1355"/>
        <w:gridCol w:w="18"/>
        <w:gridCol w:w="363"/>
        <w:gridCol w:w="121"/>
        <w:gridCol w:w="579"/>
        <w:gridCol w:w="493"/>
        <w:gridCol w:w="178"/>
        <w:gridCol w:w="489"/>
        <w:gridCol w:w="4149"/>
      </w:tblGrid>
      <w:tr w:rsidR="00060D84" w:rsidRPr="001D50E3" w:rsidTr="00060D84">
        <w:tc>
          <w:tcPr>
            <w:tcW w:w="745" w:type="pct"/>
            <w:gridSpan w:val="2"/>
            <w:tcBorders>
              <w:top w:val="single" w:sz="4" w:space="0" w:color="auto"/>
              <w:left w:val="single" w:sz="4" w:space="0" w:color="auto"/>
              <w:bottom w:val="single" w:sz="4" w:space="0" w:color="auto"/>
              <w:right w:val="single" w:sz="4" w:space="0" w:color="auto"/>
            </w:tcBorders>
            <w:hideMark/>
          </w:tcPr>
          <w:p w:rsidR="00060D84" w:rsidRPr="001D50E3" w:rsidRDefault="00060D84" w:rsidP="00754C28">
            <w:pPr>
              <w:spacing w:line="276" w:lineRule="auto"/>
              <w:jc w:val="both"/>
              <w:rPr>
                <w:rFonts w:ascii="Arial" w:eastAsia="Times New Roman" w:hAnsi="Arial" w:cs="Arial"/>
                <w:b/>
                <w:iCs/>
                <w:noProof/>
                <w:lang w:eastAsia="en-GB"/>
              </w:rPr>
            </w:pPr>
          </w:p>
          <w:p w:rsidR="00060D84" w:rsidRPr="001D50E3" w:rsidRDefault="00060D84" w:rsidP="00754C28">
            <w:pPr>
              <w:spacing w:line="276" w:lineRule="auto"/>
              <w:jc w:val="both"/>
              <w:rPr>
                <w:rFonts w:ascii="Arial" w:eastAsia="Times New Roman" w:hAnsi="Arial" w:cs="Arial"/>
                <w:b/>
                <w:iCs/>
                <w:noProof/>
                <w:lang w:eastAsia="en-GB"/>
              </w:rPr>
            </w:pPr>
            <w:r w:rsidRPr="001D50E3">
              <w:rPr>
                <w:rFonts w:ascii="Arial" w:eastAsia="Times New Roman" w:hAnsi="Arial" w:cs="Arial"/>
                <w:b/>
                <w:iCs/>
                <w:noProof/>
                <w:lang w:eastAsia="en-GB"/>
              </w:rPr>
              <w:t>Objektivi i zgjedhur i politikës - CP ose objektivi specifik i zgjedhur INTERREG</w:t>
            </w:r>
          </w:p>
        </w:tc>
        <w:tc>
          <w:tcPr>
            <w:tcW w:w="849" w:type="pct"/>
            <w:gridSpan w:val="4"/>
            <w:tcBorders>
              <w:top w:val="single" w:sz="4" w:space="0" w:color="auto"/>
              <w:left w:val="single" w:sz="4" w:space="0" w:color="auto"/>
              <w:bottom w:val="single" w:sz="4" w:space="0" w:color="auto"/>
              <w:right w:val="single" w:sz="4" w:space="0" w:color="auto"/>
            </w:tcBorders>
            <w:hideMark/>
          </w:tcPr>
          <w:p w:rsidR="00060D84" w:rsidRPr="001D50E3" w:rsidRDefault="00060D84" w:rsidP="00754C28">
            <w:pPr>
              <w:spacing w:line="276" w:lineRule="auto"/>
              <w:jc w:val="both"/>
              <w:rPr>
                <w:rFonts w:ascii="Arial" w:eastAsia="Times New Roman" w:hAnsi="Arial" w:cs="Arial"/>
                <w:b/>
                <w:iCs/>
                <w:noProof/>
                <w:lang w:val="mk-MK" w:eastAsia="en-GB"/>
              </w:rPr>
            </w:pPr>
            <w:r w:rsidRPr="001D50E3">
              <w:rPr>
                <w:rFonts w:ascii="Arial" w:eastAsia="Times New Roman" w:hAnsi="Arial" w:cs="Arial"/>
                <w:b/>
                <w:iCs/>
                <w:noProof/>
                <w:lang w:val="mk-MK" w:eastAsia="en-GB"/>
              </w:rPr>
              <w:t>Objektivi specifik i zgjedhur Prioriteti Arsyetimi i përzgjedhjes</w:t>
            </w:r>
          </w:p>
          <w:p w:rsidR="00060D84" w:rsidRPr="001D50E3" w:rsidRDefault="00060D84" w:rsidP="00754C28">
            <w:pPr>
              <w:spacing w:line="276" w:lineRule="auto"/>
              <w:jc w:val="both"/>
              <w:rPr>
                <w:rFonts w:ascii="Arial" w:eastAsia="Times New Roman" w:hAnsi="Arial" w:cs="Arial"/>
                <w:b/>
                <w:iCs/>
                <w:noProof/>
                <w:lang w:val="mk-MK" w:eastAsia="en-GB"/>
              </w:rPr>
            </w:pPr>
          </w:p>
          <w:p w:rsidR="00060D84" w:rsidRPr="001D50E3" w:rsidRDefault="00060D84" w:rsidP="00754C28">
            <w:pPr>
              <w:spacing w:line="276" w:lineRule="auto"/>
              <w:jc w:val="both"/>
              <w:rPr>
                <w:rFonts w:ascii="Arial" w:eastAsia="Times New Roman" w:hAnsi="Arial" w:cs="Arial"/>
                <w:b/>
                <w:iCs/>
                <w:noProof/>
                <w:lang w:val="mk-MK" w:eastAsia="en-GB"/>
              </w:rPr>
            </w:pPr>
          </w:p>
          <w:p w:rsidR="00060D84" w:rsidRPr="001D50E3" w:rsidRDefault="00060D84" w:rsidP="00754C28">
            <w:pPr>
              <w:spacing w:line="276" w:lineRule="auto"/>
              <w:jc w:val="both"/>
              <w:rPr>
                <w:rFonts w:ascii="Arial" w:eastAsia="Times New Roman" w:hAnsi="Arial" w:cs="Arial"/>
                <w:b/>
                <w:iCs/>
                <w:noProof/>
                <w:lang w:eastAsia="en-GB"/>
              </w:rPr>
            </w:pPr>
          </w:p>
        </w:tc>
        <w:tc>
          <w:tcPr>
            <w:tcW w:w="562" w:type="pct"/>
            <w:gridSpan w:val="3"/>
            <w:tcBorders>
              <w:top w:val="single" w:sz="4" w:space="0" w:color="auto"/>
              <w:left w:val="single" w:sz="4" w:space="0" w:color="auto"/>
              <w:bottom w:val="single" w:sz="4" w:space="0" w:color="auto"/>
              <w:right w:val="single" w:sz="4" w:space="0" w:color="auto"/>
            </w:tcBorders>
            <w:hideMark/>
          </w:tcPr>
          <w:p w:rsidR="00060D84" w:rsidRPr="001D50E3" w:rsidRDefault="00060D84" w:rsidP="00754C28">
            <w:pPr>
              <w:spacing w:line="276" w:lineRule="auto"/>
              <w:jc w:val="both"/>
              <w:rPr>
                <w:rFonts w:ascii="Arial" w:eastAsia="Times New Roman" w:hAnsi="Arial" w:cs="Arial"/>
                <w:b/>
                <w:iCs/>
                <w:noProof/>
                <w:lang w:val="mk-MK" w:eastAsia="en-GB"/>
              </w:rPr>
            </w:pPr>
            <w:r w:rsidRPr="001D50E3">
              <w:rPr>
                <w:rFonts w:ascii="Arial" w:eastAsia="Times New Roman" w:hAnsi="Arial" w:cs="Arial"/>
                <w:b/>
                <w:iCs/>
                <w:noProof/>
                <w:lang w:val="mk-MK" w:eastAsia="en-GB"/>
              </w:rPr>
              <w:t>Prioritet</w:t>
            </w:r>
          </w:p>
        </w:tc>
        <w:tc>
          <w:tcPr>
            <w:tcW w:w="2844" w:type="pct"/>
            <w:gridSpan w:val="4"/>
            <w:tcBorders>
              <w:top w:val="single" w:sz="4" w:space="0" w:color="auto"/>
              <w:left w:val="single" w:sz="4" w:space="0" w:color="auto"/>
              <w:bottom w:val="single" w:sz="4" w:space="0" w:color="auto"/>
              <w:right w:val="single" w:sz="4" w:space="0" w:color="auto"/>
            </w:tcBorders>
            <w:hideMark/>
          </w:tcPr>
          <w:p w:rsidR="00060D84" w:rsidRPr="001D50E3" w:rsidRDefault="00060D84" w:rsidP="00754C28">
            <w:pPr>
              <w:spacing w:line="276" w:lineRule="auto"/>
              <w:jc w:val="both"/>
              <w:rPr>
                <w:rFonts w:ascii="Arial" w:eastAsia="Times New Roman" w:hAnsi="Arial" w:cs="Arial"/>
                <w:b/>
                <w:iCs/>
                <w:noProof/>
                <w:lang w:val="mk-MK" w:eastAsia="en-GB"/>
              </w:rPr>
            </w:pPr>
            <w:r w:rsidRPr="001D50E3">
              <w:rPr>
                <w:rFonts w:ascii="Arial" w:eastAsia="Times New Roman" w:hAnsi="Arial" w:cs="Arial"/>
                <w:b/>
                <w:iCs/>
                <w:noProof/>
                <w:lang w:val="mk-MK" w:eastAsia="en-GB"/>
              </w:rPr>
              <w:t>Arsyetimi për zgjedhjen</w:t>
            </w:r>
          </w:p>
        </w:tc>
      </w:tr>
      <w:tr w:rsidR="00F47ED4" w:rsidRPr="001D50E3" w:rsidTr="00060D84">
        <w:tc>
          <w:tcPr>
            <w:tcW w:w="806" w:type="pct"/>
            <w:gridSpan w:val="3"/>
            <w:tcBorders>
              <w:top w:val="single" w:sz="4" w:space="0" w:color="auto"/>
              <w:left w:val="single" w:sz="4" w:space="0" w:color="auto"/>
              <w:bottom w:val="single" w:sz="4" w:space="0" w:color="auto"/>
              <w:right w:val="single" w:sz="4" w:space="0" w:color="auto"/>
            </w:tcBorders>
            <w:hideMark/>
          </w:tcPr>
          <w:p w:rsidR="00060D84" w:rsidRPr="001D50E3" w:rsidRDefault="00060D84" w:rsidP="00754C28">
            <w:pPr>
              <w:spacing w:line="276" w:lineRule="auto"/>
              <w:rPr>
                <w:rFonts w:ascii="Arial" w:eastAsia="Times New Roman" w:hAnsi="Arial" w:cs="Arial"/>
                <w:iCs/>
                <w:noProof/>
                <w:lang w:eastAsia="en-GB"/>
              </w:rPr>
            </w:pPr>
            <w:r w:rsidRPr="001D50E3">
              <w:rPr>
                <w:rFonts w:ascii="Arial" w:eastAsia="Times New Roman" w:hAnsi="Arial" w:cs="Arial"/>
                <w:iCs/>
                <w:noProof/>
                <w:lang w:eastAsia="en-GB"/>
              </w:rPr>
              <w:t>CP 2</w:t>
            </w:r>
          </w:p>
          <w:p w:rsidR="00060D84" w:rsidRPr="001D50E3" w:rsidRDefault="00060D84" w:rsidP="00754C28">
            <w:pPr>
              <w:spacing w:line="276" w:lineRule="auto"/>
              <w:rPr>
                <w:rFonts w:ascii="Arial" w:eastAsia="Times New Roman" w:hAnsi="Arial" w:cs="Arial"/>
                <w:iCs/>
                <w:noProof/>
                <w:lang w:eastAsia="en-GB"/>
              </w:rPr>
            </w:pPr>
            <w:r w:rsidRPr="001D50E3">
              <w:rPr>
                <w:rFonts w:ascii="Arial" w:eastAsia="Times New Roman" w:hAnsi="Arial" w:cs="Arial"/>
                <w:iCs/>
                <w:noProof/>
                <w:lang w:eastAsia="en-GB"/>
              </w:rPr>
              <w:t xml:space="preserve">Tranzicion më i gjelbër dhe me pak karbon në një ekonomi me karbon zero dhe Evropë elastike duke promovuar </w:t>
            </w:r>
            <w:r w:rsidRPr="001D50E3">
              <w:rPr>
                <w:rFonts w:ascii="Arial" w:eastAsia="Times New Roman" w:hAnsi="Arial" w:cs="Arial"/>
                <w:iCs/>
                <w:noProof/>
                <w:lang w:eastAsia="en-GB"/>
              </w:rPr>
              <w:lastRenderedPageBreak/>
              <w:t>tranzicione të pastra dhe të drejta të energjisë, investime jeshile dhe blu, ekonomi rrethore, zbutje dhe përshtatje ndaj ndryshimeve klimatike, parandalim dhe menaxhim të rrezikut dhe lëvizshmëri të qëndrueshme urbane</w:t>
            </w:r>
          </w:p>
        </w:tc>
        <w:tc>
          <w:tcPr>
            <w:tcW w:w="1044" w:type="pct"/>
            <w:gridSpan w:val="5"/>
            <w:tcBorders>
              <w:top w:val="single" w:sz="4" w:space="0" w:color="auto"/>
              <w:left w:val="single" w:sz="4" w:space="0" w:color="auto"/>
              <w:bottom w:val="single" w:sz="4" w:space="0" w:color="auto"/>
              <w:right w:val="single" w:sz="4" w:space="0" w:color="auto"/>
            </w:tcBorders>
            <w:hideMark/>
          </w:tcPr>
          <w:p w:rsidR="00060D84" w:rsidRPr="001D50E3" w:rsidRDefault="00060D84" w:rsidP="00754C28">
            <w:pPr>
              <w:spacing w:line="276" w:lineRule="auto"/>
              <w:rPr>
                <w:rFonts w:ascii="Arial" w:eastAsia="Times New Roman" w:hAnsi="Arial" w:cs="Arial"/>
                <w:i/>
                <w:iCs/>
                <w:noProof/>
                <w:lang w:eastAsia="en-GB"/>
              </w:rPr>
            </w:pPr>
            <w:r w:rsidRPr="001D50E3">
              <w:rPr>
                <w:rFonts w:ascii="Arial" w:eastAsia="Times New Roman" w:hAnsi="Arial" w:cs="Arial"/>
                <w:i/>
                <w:iCs/>
                <w:noProof/>
                <w:lang w:eastAsia="en-GB"/>
              </w:rPr>
              <w:lastRenderedPageBreak/>
              <w:t xml:space="preserve">Përmirësimi i mbrojtjes dhe ruajtjes së natyrës, biodiversitetit dhe infrastrukturës së gjelbër, përfshirë në zonat urbane dhe reduktimi i të gjitha formave të </w:t>
            </w:r>
            <w:r w:rsidRPr="001D50E3">
              <w:rPr>
                <w:rFonts w:ascii="Arial" w:eastAsia="Times New Roman" w:hAnsi="Arial" w:cs="Arial"/>
                <w:i/>
                <w:iCs/>
                <w:noProof/>
                <w:lang w:eastAsia="en-GB"/>
              </w:rPr>
              <w:lastRenderedPageBreak/>
              <w:t>ndotjes</w:t>
            </w:r>
          </w:p>
        </w:tc>
        <w:tc>
          <w:tcPr>
            <w:tcW w:w="711" w:type="pct"/>
            <w:gridSpan w:val="3"/>
            <w:tcBorders>
              <w:top w:val="single" w:sz="4" w:space="0" w:color="auto"/>
              <w:left w:val="single" w:sz="4" w:space="0" w:color="auto"/>
              <w:bottom w:val="single" w:sz="4" w:space="0" w:color="auto"/>
              <w:right w:val="single" w:sz="4" w:space="0" w:color="auto"/>
            </w:tcBorders>
            <w:hideMark/>
          </w:tcPr>
          <w:p w:rsidR="00060D84" w:rsidRPr="001D50E3" w:rsidRDefault="00060D84" w:rsidP="00754C28">
            <w:pPr>
              <w:spacing w:line="276" w:lineRule="auto"/>
              <w:rPr>
                <w:rFonts w:ascii="Arial" w:eastAsia="Times New Roman" w:hAnsi="Arial" w:cs="Arial"/>
                <w:b/>
                <w:iCs/>
                <w:noProof/>
                <w:lang w:eastAsia="en-GB"/>
              </w:rPr>
            </w:pPr>
            <w:r w:rsidRPr="001D50E3">
              <w:rPr>
                <w:rFonts w:ascii="Arial" w:eastAsia="Times New Roman" w:hAnsi="Arial" w:cs="Arial"/>
                <w:b/>
                <w:iCs/>
                <w:noProof/>
                <w:lang w:eastAsia="en-GB"/>
              </w:rPr>
              <w:lastRenderedPageBreak/>
              <w:t>Rajoni kufitar më i gjelbër</w:t>
            </w:r>
          </w:p>
        </w:tc>
        <w:tc>
          <w:tcPr>
            <w:tcW w:w="2439" w:type="pct"/>
            <w:gridSpan w:val="2"/>
            <w:tcBorders>
              <w:top w:val="single" w:sz="4" w:space="0" w:color="auto"/>
              <w:left w:val="single" w:sz="4" w:space="0" w:color="auto"/>
              <w:bottom w:val="single" w:sz="4" w:space="0" w:color="auto"/>
              <w:right w:val="single" w:sz="4" w:space="0" w:color="auto"/>
            </w:tcBorders>
            <w:hideMark/>
          </w:tcPr>
          <w:p w:rsidR="00E21E75" w:rsidRPr="001D50E3" w:rsidRDefault="00E21E75" w:rsidP="00754C28">
            <w:pPr>
              <w:spacing w:line="276" w:lineRule="auto"/>
              <w:jc w:val="both"/>
              <w:rPr>
                <w:rFonts w:ascii="Arial" w:eastAsia="Calibri" w:hAnsi="Arial" w:cs="Arial"/>
                <w:i/>
                <w:lang w:eastAsia="en-GB"/>
              </w:rPr>
            </w:pPr>
          </w:p>
          <w:p w:rsidR="00E21E75" w:rsidRPr="001D50E3" w:rsidRDefault="00E21E75" w:rsidP="00754C28">
            <w:pPr>
              <w:spacing w:line="276" w:lineRule="auto"/>
              <w:jc w:val="both"/>
              <w:rPr>
                <w:rFonts w:ascii="Arial" w:eastAsia="Calibri" w:hAnsi="Arial" w:cs="Arial"/>
                <w:i/>
                <w:lang w:eastAsia="en-GB"/>
              </w:rPr>
            </w:pPr>
            <w:r w:rsidRPr="001D50E3">
              <w:rPr>
                <w:rFonts w:ascii="Arial" w:eastAsia="Calibri" w:hAnsi="Arial" w:cs="Arial"/>
                <w:i/>
                <w:lang w:eastAsia="en-GB"/>
              </w:rPr>
              <w:t xml:space="preserve">Zona e programit gëzon biodiversitet të madh. Megjithatë, për shkak të kushteve të ndryshme gjeologjike, topografike dhe hidrologjike, zona është e ndjeshme ndaj praktikave të dëmshme të biodiversitetit. Sipas Strategjisë së BE-së për Biodiversitetin 2030, humbja e biodiversitetit dhe kolapsi i ekosistemit janë një nga kërcënimet më të mëdha me të cilat përballet njerëzimi në </w:t>
            </w:r>
            <w:r w:rsidRPr="001D50E3">
              <w:rPr>
                <w:rFonts w:ascii="Arial" w:eastAsia="Calibri" w:hAnsi="Arial" w:cs="Arial"/>
                <w:i/>
                <w:lang w:eastAsia="en-GB"/>
              </w:rPr>
              <w:lastRenderedPageBreak/>
              <w:t>dekadën e ardhshme. Kjo e bën mbrojtjen e natyrës dhe restaurimin e ekosistemeve të shëndetshme një prioritet evropian. Në qendër të këtij prioriteti është krijimi i një Infrastrukture të Gjelbër (GIS) efektet e gjera të së cilës kanë një ndikim pozitiv në shëndetin dhe mirëqenien e njerëzve, mbështesin ekonominë e gjelbër, krijojnë mundësi pune dhe përmirësojnë biodiversitetin. Ndërsa Strategjia e BE-së për Biodiversitetin 2030 u bën thirrje autoriteteve kombëtare të forcojnë dhe zgjerojnë më tej praktikat e ruajtjes së natyrës, qeveritë rajonale dhe lokale njihen gjithnjë e më shumë si ofruesit kryesorë të shërbimeve të ekosistemit në ndërtimin dhe restaurimin e hapësirave të gjelbra. Raporti i ndërmjetëm i Rrjetit Evropian për Vëzhgimin e Planifikimit Hapësinor – EMOP (ESPON) për vitin 2019 “Shteti i Territorit Evropian” thekson se zona ndërkufitare gëzon një potencial të lartë të mbulimit të rrjetit IP. Ky vlerësim bazohet në politika dhe praktika që promovojnë përdorimin e qëndrueshëm të tokës dhe rritjen e biodiversitetit. Meqenëse mbulimi i gjelbër urban në përgjithësi është në rënie, politikat e deficitit duhet të fokusohen</w:t>
            </w:r>
            <w:r w:rsidR="00597CB8" w:rsidRPr="001D50E3">
              <w:rPr>
                <w:rFonts w:ascii="Arial" w:eastAsia="Calibri" w:hAnsi="Arial" w:cs="Arial"/>
                <w:i/>
                <w:lang w:eastAsia="en-GB"/>
              </w:rPr>
              <w:t xml:space="preserve"> ne</w:t>
            </w:r>
          </w:p>
          <w:p w:rsidR="006934A2" w:rsidRPr="001D50E3" w:rsidRDefault="006934A2" w:rsidP="00754C28">
            <w:pPr>
              <w:spacing w:line="276" w:lineRule="auto"/>
              <w:jc w:val="both"/>
              <w:rPr>
                <w:rFonts w:ascii="Arial" w:eastAsia="Calibri" w:hAnsi="Arial" w:cs="Arial"/>
                <w:i/>
                <w:lang w:eastAsia="en-GB"/>
              </w:rPr>
            </w:pPr>
            <w:r w:rsidRPr="001D50E3">
              <w:rPr>
                <w:rFonts w:ascii="Arial" w:eastAsia="Calibri" w:hAnsi="Arial" w:cs="Arial"/>
                <w:i/>
                <w:lang w:eastAsia="en-GB"/>
              </w:rPr>
              <w:t>gjelbërimi</w:t>
            </w:r>
            <w:r w:rsidR="00597CB8" w:rsidRPr="001D50E3">
              <w:rPr>
                <w:rFonts w:ascii="Arial" w:eastAsia="Calibri" w:hAnsi="Arial" w:cs="Arial"/>
                <w:i/>
                <w:lang w:eastAsia="en-GB"/>
              </w:rPr>
              <w:t>n</w:t>
            </w:r>
            <w:r w:rsidRPr="001D50E3">
              <w:rPr>
                <w:rFonts w:ascii="Arial" w:eastAsia="Calibri" w:hAnsi="Arial" w:cs="Arial"/>
                <w:i/>
                <w:lang w:eastAsia="en-GB"/>
              </w:rPr>
              <w:t xml:space="preserve"> i zonave urbane dhe periurbane, përmirësimi i lidhjes së hapësirave urbane dhe transformimi i përdorimit të tokës, të dominuara nga hapësira të hapura pa bimësi (p.sh. ish-platforma industriale, parkingje, fusha kafe), në zona të gjelbra me cilësi ekologjike të përmirësuara. Këto janë vetëm disa nga masat që Programi do të kërkojë të mbështesë për të rritur biodiversitetin duke krijuar korridore ekologjike për të parandaluar izolimin gjenetik, për të mundësuar migrimin e specieve dhe për të ruajtur dhe përmirësuar ekosistemet e shëndetshme. Në këtë kontekst, Strategjia e BE-së për Biodiversitetin 2030 inkurajon investimet në infrastrukturën e gjelbër që të kryhen përmes bashkëpunimit ndërkufitar midis shteteve anëtare, duke përfshirë edhe bashkëpunimin territorial evropian. Strategjia </w:t>
            </w:r>
            <w:r w:rsidRPr="001D50E3">
              <w:rPr>
                <w:rFonts w:ascii="Arial" w:eastAsia="Calibri" w:hAnsi="Arial" w:cs="Arial"/>
                <w:i/>
                <w:lang w:eastAsia="en-GB"/>
              </w:rPr>
              <w:lastRenderedPageBreak/>
              <w:t>e BE-së për promovimin e IP-së thekson gjithashtu dimensionin rajonal/kohezion të promovimit të IP-së. Për më tepër, bashkëpunimi ndërkufitar në fushën e PI është gjithashtu në përputhje me rekomandimin e Dokumentit Udhëzues Kufitar për të vënë një fokus të fortë në masat e qëndrueshme dhe mjed</w:t>
            </w:r>
            <w:r w:rsidRPr="001D50E3">
              <w:rPr>
                <w:rFonts w:ascii="Arial" w:hAnsi="Arial" w:cs="Arial"/>
              </w:rPr>
              <w:t xml:space="preserve"> </w:t>
            </w:r>
            <w:r w:rsidRPr="001D50E3">
              <w:rPr>
                <w:rFonts w:ascii="Arial" w:eastAsia="Calibri" w:hAnsi="Arial" w:cs="Arial"/>
                <w:i/>
                <w:lang w:eastAsia="en-GB"/>
              </w:rPr>
              <w:t>gjelbërimi i zonave urbane dhe periurbane, përmirësimi i lidhjes së hapësirave urbane dhe transformimi i përdorimit të tokës, të dominuara nga hapësira të hapura pa bimësi (p.sh. ish-platforma industriale, parkingje, fusha kafe), në zona të gjelbra me cilësi ekologjike të përmirësuara. Këto janë vetëm disa nga masat që Programi do të kërkojë të mbështesë për të rritur biodiversitetin duke krijuar korridore ekologjike për të parandaluar izolimin gjenetik, për të mundësuar migrimin e specieve dhe për të ruajtur dhe përmirësuar ekosistemet e shëndetshme. Në këtë kontekst, Strategjia e BE-së për Biodiversitetin 2030 inkurajon investimet në infrastrukturën e gjelbër që të kryhen përmes bashkëpunimit ndërkufitar midis shteteve anëtare, duke përfshirë edhe bashkëpunimin territorial evropian. Strategjia e BE-së për promovimin e IP-së thekson gjithashtu dimensionin rajonal/kohezion të promovimit të IP-së. Për më tepër, bashkëpunimi ndërkufitar në fushën e PI është gjithashtu në përputhje me rekomandimin e Dokumentit Udhëzues Kufitar për të vënë një fokus të fortë në masat e qëndrueshme dhe mjedisore. isore.</w:t>
            </w:r>
          </w:p>
          <w:p w:rsidR="006934A2" w:rsidRPr="001D50E3" w:rsidRDefault="006934A2" w:rsidP="00754C28">
            <w:pPr>
              <w:spacing w:line="276" w:lineRule="auto"/>
              <w:jc w:val="both"/>
              <w:rPr>
                <w:rFonts w:ascii="Arial" w:eastAsia="Calibri" w:hAnsi="Arial" w:cs="Arial"/>
                <w:i/>
                <w:lang w:eastAsia="en-GB"/>
              </w:rPr>
            </w:pPr>
          </w:p>
        </w:tc>
      </w:tr>
      <w:tr w:rsidR="00060D84" w:rsidRPr="001D50E3" w:rsidTr="00060D84">
        <w:tc>
          <w:tcPr>
            <w:tcW w:w="733" w:type="pct"/>
            <w:tcBorders>
              <w:top w:val="single" w:sz="4" w:space="0" w:color="auto"/>
              <w:left w:val="single" w:sz="4" w:space="0" w:color="auto"/>
              <w:bottom w:val="single" w:sz="4" w:space="0" w:color="auto"/>
              <w:right w:val="single" w:sz="4" w:space="0" w:color="auto"/>
            </w:tcBorders>
            <w:hideMark/>
          </w:tcPr>
          <w:p w:rsidR="00E21E75" w:rsidRPr="001D50E3" w:rsidRDefault="00E21E75" w:rsidP="00754C28">
            <w:pPr>
              <w:spacing w:line="276" w:lineRule="auto"/>
              <w:rPr>
                <w:rFonts w:ascii="Arial" w:hAnsi="Arial" w:cs="Arial"/>
                <w:i/>
                <w:lang w:val="en-US"/>
              </w:rPr>
            </w:pPr>
            <w:r w:rsidRPr="001D50E3">
              <w:rPr>
                <w:rFonts w:ascii="Arial" w:hAnsi="Arial" w:cs="Arial"/>
                <w:i/>
                <w:lang w:val="en-US"/>
              </w:rPr>
              <w:lastRenderedPageBreak/>
              <w:t>CP3</w:t>
            </w:r>
          </w:p>
          <w:p w:rsidR="00060D84" w:rsidRPr="001D50E3" w:rsidRDefault="00E21E75" w:rsidP="00754C28">
            <w:pPr>
              <w:spacing w:line="276" w:lineRule="auto"/>
              <w:rPr>
                <w:rFonts w:ascii="Arial" w:hAnsi="Arial" w:cs="Arial"/>
                <w:i/>
                <w:lang w:val="en-US"/>
              </w:rPr>
            </w:pPr>
            <w:r w:rsidRPr="001D50E3">
              <w:rPr>
                <w:rFonts w:ascii="Arial" w:hAnsi="Arial" w:cs="Arial"/>
                <w:i/>
                <w:lang w:val="en-US"/>
              </w:rPr>
              <w:t>Një Evropë më e lidhur duke forcuar lëvizshmërinë</w:t>
            </w:r>
          </w:p>
        </w:tc>
        <w:tc>
          <w:tcPr>
            <w:tcW w:w="851" w:type="pct"/>
            <w:gridSpan w:val="4"/>
            <w:tcBorders>
              <w:top w:val="single" w:sz="4" w:space="0" w:color="auto"/>
              <w:left w:val="single" w:sz="4" w:space="0" w:color="auto"/>
              <w:bottom w:val="single" w:sz="4" w:space="0" w:color="auto"/>
              <w:right w:val="single" w:sz="4" w:space="0" w:color="auto"/>
            </w:tcBorders>
            <w:hideMark/>
          </w:tcPr>
          <w:p w:rsidR="00060D84" w:rsidRPr="001D50E3" w:rsidRDefault="00E21E75" w:rsidP="00754C28">
            <w:pPr>
              <w:spacing w:line="276" w:lineRule="auto"/>
              <w:rPr>
                <w:rFonts w:ascii="Arial" w:eastAsia="Times New Roman" w:hAnsi="Arial" w:cs="Arial"/>
                <w:i/>
                <w:iCs/>
                <w:noProof/>
                <w:lang w:eastAsia="en-GB"/>
              </w:rPr>
            </w:pPr>
            <w:r w:rsidRPr="001D50E3">
              <w:rPr>
                <w:rFonts w:ascii="Arial" w:eastAsia="Times New Roman" w:hAnsi="Arial" w:cs="Arial"/>
                <w:i/>
                <w:iCs/>
                <w:noProof/>
                <w:lang w:eastAsia="en-GB"/>
              </w:rPr>
              <w:t xml:space="preserve">Zhvillimi i lëvizshmërisë kombëtare, rajonale dhe lokale të qëndrueshme, rezistente ndaj klimës, inteligjente </w:t>
            </w:r>
            <w:r w:rsidRPr="001D50E3">
              <w:rPr>
                <w:rFonts w:ascii="Arial" w:eastAsia="Times New Roman" w:hAnsi="Arial" w:cs="Arial"/>
                <w:i/>
                <w:iCs/>
                <w:noProof/>
                <w:lang w:eastAsia="en-GB"/>
              </w:rPr>
              <w:lastRenderedPageBreak/>
              <w:t>dhe intermodale, duke përfshirë aksesin e përmirësuar në TEM-T dhe lëvizshmërinë ndërkufitare</w:t>
            </w:r>
          </w:p>
        </w:tc>
        <w:tc>
          <w:tcPr>
            <w:tcW w:w="875" w:type="pct"/>
            <w:gridSpan w:val="5"/>
            <w:tcBorders>
              <w:top w:val="single" w:sz="4" w:space="0" w:color="auto"/>
              <w:left w:val="single" w:sz="4" w:space="0" w:color="auto"/>
              <w:bottom w:val="single" w:sz="4" w:space="0" w:color="auto"/>
              <w:right w:val="single" w:sz="4" w:space="0" w:color="auto"/>
            </w:tcBorders>
            <w:hideMark/>
          </w:tcPr>
          <w:p w:rsidR="00060D84" w:rsidRPr="001D50E3" w:rsidRDefault="00E21E75" w:rsidP="00754C28">
            <w:pPr>
              <w:spacing w:line="276" w:lineRule="auto"/>
              <w:rPr>
                <w:rFonts w:ascii="Arial" w:eastAsia="Times New Roman" w:hAnsi="Arial" w:cs="Arial"/>
                <w:b/>
                <w:iCs/>
                <w:noProof/>
                <w:lang w:val="mk-MK" w:eastAsia="en-GB"/>
              </w:rPr>
            </w:pPr>
            <w:r w:rsidRPr="001D50E3">
              <w:rPr>
                <w:rFonts w:ascii="Arial" w:eastAsia="Times New Roman" w:hAnsi="Arial" w:cs="Arial"/>
                <w:b/>
                <w:iCs/>
                <w:noProof/>
                <w:lang w:val="mk-MK" w:eastAsia="en-GB"/>
              </w:rPr>
              <w:lastRenderedPageBreak/>
              <w:t>Rajoni ndërkufitar më i lidhur</w:t>
            </w:r>
          </w:p>
        </w:tc>
        <w:tc>
          <w:tcPr>
            <w:tcW w:w="2541" w:type="pct"/>
            <w:gridSpan w:val="3"/>
            <w:tcBorders>
              <w:top w:val="single" w:sz="4" w:space="0" w:color="auto"/>
              <w:left w:val="single" w:sz="4" w:space="0" w:color="auto"/>
              <w:bottom w:val="single" w:sz="4" w:space="0" w:color="auto"/>
              <w:right w:val="single" w:sz="4" w:space="0" w:color="auto"/>
            </w:tcBorders>
            <w:hideMark/>
          </w:tcPr>
          <w:p w:rsidR="00056262" w:rsidRPr="001D50E3" w:rsidRDefault="00056262" w:rsidP="00754C28">
            <w:pPr>
              <w:spacing w:line="276" w:lineRule="auto"/>
              <w:jc w:val="both"/>
              <w:rPr>
                <w:rFonts w:ascii="Arial" w:eastAsia="Times New Roman" w:hAnsi="Arial" w:cs="Arial"/>
                <w:i/>
                <w:iCs/>
                <w:noProof/>
                <w:lang w:val="bg-BG" w:eastAsia="en-GB"/>
              </w:rPr>
            </w:pPr>
            <w:r w:rsidRPr="001D50E3">
              <w:rPr>
                <w:rFonts w:ascii="Arial" w:eastAsia="Times New Roman" w:hAnsi="Arial" w:cs="Arial"/>
                <w:i/>
                <w:iCs/>
                <w:noProof/>
                <w:lang w:val="bg-BG" w:eastAsia="en-GB"/>
              </w:rPr>
              <w:t xml:space="preserve">Në zonën ndërkufitare aktualisht janë 3 pika kufitare - PKK, të cilat i shërbejnë një popullsie prej gati një milion banorësh duke siguruar akses të drejtpërdrejtë në autostradën Struma në Bullgari, e cila është pjesë e korridorit kryesor TEM-T Orient / Lindje-Mesdhe. Procesi i intensifikuar i zgjerimit të BE-së i bëri thirrje Republikës së Bullgarisë dhe Republikës së Maqedonisë së Veriut që t'i përgjigjen sfidës së </w:t>
            </w:r>
            <w:r w:rsidRPr="001D50E3">
              <w:rPr>
                <w:rFonts w:ascii="Arial" w:eastAsia="Times New Roman" w:hAnsi="Arial" w:cs="Arial"/>
                <w:i/>
                <w:iCs/>
                <w:noProof/>
                <w:lang w:val="bg-BG" w:eastAsia="en-GB"/>
              </w:rPr>
              <w:lastRenderedPageBreak/>
              <w:t>lehtësimit të rritjes vjetore të trafikut të mallrave dhe lëvizjes së njerëzve ndërmjet dy vendeve, qoftë duke rritur kapacitetin e shërbimit të pikave aktuale kufitare ose hapja e PKK-ve të reja ndërmjet dy vendeve, nevoja e të cilave u njoh në vitin 1999 kur Republika e Bullgarisë dhe Republika e Maqedonisë së Veriut nënshkruan një marrëveshje dypalëshe për krijimin e një PKK-je të re në fshatin Klepalo që lidh komunat e Strumyanit (Republika e Bullgari) dhe Berovë (Republika e Maqedonisë së Veriut). Propozimet e fundit të Komisionit parashikojnë integrimin e mëtejshëm të vendeve të Ballkanit Perëndimor në politikat, programet dhe tregjet e BE-së dhe nëse vazhdojnë barrierat për lëvizjen e kufijve, përshpejtimi i procesit të zgjerimit të BE-së mund të rrezikohet nga mungesa e faktorëve kyç të lidhjes. Për të zhbllokuar sa më mirë potencialin e rrjeteve të ndërlidhura të prodhimit dhe zinxhirëve të vlerës midis vendeve të Ballkanit Perëndimor dhe Lindor, do të jetë thelbësore të sigurohet një bazë për lidhje.</w:t>
            </w:r>
          </w:p>
          <w:p w:rsidR="00060D84" w:rsidRPr="001D50E3" w:rsidRDefault="00056262" w:rsidP="00754C28">
            <w:pPr>
              <w:spacing w:line="276" w:lineRule="auto"/>
              <w:jc w:val="both"/>
              <w:rPr>
                <w:rFonts w:ascii="Arial" w:eastAsia="Times New Roman" w:hAnsi="Arial" w:cs="Arial"/>
                <w:i/>
                <w:iCs/>
                <w:noProof/>
                <w:lang w:val="bg-BG" w:eastAsia="en-GB"/>
              </w:rPr>
            </w:pPr>
            <w:r w:rsidRPr="001D50E3">
              <w:rPr>
                <w:rFonts w:ascii="Arial" w:eastAsia="Times New Roman" w:hAnsi="Arial" w:cs="Arial"/>
                <w:i/>
                <w:iCs/>
                <w:noProof/>
                <w:lang w:val="bg-BG" w:eastAsia="en-GB"/>
              </w:rPr>
              <w:t>Kufiri dhe aksesi i lehtësuar dhe i rritur në TEM-T midis dy vendeve ka rëndësi politike dhe një ndikim shumë-sektorial në drejtime të ndryshme të politikës së BE-së, duke theksuar rolin e Interreg në lidhjen e Evropës Perëndimore dhe Lindore. Përveç kësaj, kufiri i lehtësuar dhe i rritur dhe aksesi në TEM-T do të krijojë vlerë të shtuar në një perspektivë më të gjerë ekonomike, duke zgjeruar tejmbushjet dhe duke lehtësuar ndërlidhjet në sektorët e transportit dhe turizmit. Investimet e pritshme për përmirësimin e aksesit në kufi dhe TEM-T do të krijojnë kursime të konsiderueshme të udhëtimit në kohë, duke shkurtuar kohën e hyrjes në vendpushimin shumë të njohur të skive Bansko në Bullgari (ndër dhjetë të parat në çdo renditje aktuale). CP 3 është përzgjedhur si politika kryesore për shkak të ndikimit të madh të qasjes së përmirësuar të kufirit dhe TEM-T në lidhjen rajonale dhe lëvizshmërinë ndërkufitare.</w:t>
            </w:r>
          </w:p>
        </w:tc>
      </w:tr>
      <w:tr w:rsidR="00060D84" w:rsidRPr="001D50E3" w:rsidTr="00060D84">
        <w:tc>
          <w:tcPr>
            <w:tcW w:w="874" w:type="pct"/>
            <w:gridSpan w:val="4"/>
            <w:tcBorders>
              <w:top w:val="single" w:sz="4" w:space="0" w:color="auto"/>
              <w:left w:val="single" w:sz="4" w:space="0" w:color="auto"/>
              <w:bottom w:val="single" w:sz="4" w:space="0" w:color="auto"/>
              <w:right w:val="single" w:sz="4" w:space="0" w:color="auto"/>
            </w:tcBorders>
            <w:hideMark/>
          </w:tcPr>
          <w:p w:rsidR="00F47ED4" w:rsidRPr="001D50E3" w:rsidRDefault="00F47ED4" w:rsidP="00754C28">
            <w:pPr>
              <w:spacing w:line="276" w:lineRule="auto"/>
              <w:rPr>
                <w:rFonts w:ascii="Arial" w:eastAsia="Times New Roman" w:hAnsi="Arial" w:cs="Arial"/>
                <w:iCs/>
                <w:noProof/>
                <w:lang w:eastAsia="en-GB"/>
              </w:rPr>
            </w:pPr>
            <w:r w:rsidRPr="001D50E3">
              <w:rPr>
                <w:rFonts w:ascii="Arial" w:eastAsia="Times New Roman" w:hAnsi="Arial" w:cs="Arial"/>
                <w:iCs/>
                <w:noProof/>
                <w:lang w:eastAsia="en-GB"/>
              </w:rPr>
              <w:lastRenderedPageBreak/>
              <w:t>CP 5</w:t>
            </w:r>
          </w:p>
          <w:p w:rsidR="00060D84" w:rsidRPr="001D50E3" w:rsidRDefault="00F47ED4" w:rsidP="00754C28">
            <w:pPr>
              <w:spacing w:line="276" w:lineRule="auto"/>
              <w:rPr>
                <w:rFonts w:ascii="Arial" w:eastAsia="Times New Roman" w:hAnsi="Arial" w:cs="Arial"/>
                <w:iCs/>
                <w:noProof/>
                <w:lang w:eastAsia="en-GB"/>
              </w:rPr>
            </w:pPr>
            <w:r w:rsidRPr="001D50E3">
              <w:rPr>
                <w:rFonts w:ascii="Arial" w:eastAsia="Times New Roman" w:hAnsi="Arial" w:cs="Arial"/>
                <w:iCs/>
                <w:noProof/>
                <w:lang w:eastAsia="en-GB"/>
              </w:rPr>
              <w:t>Evropa më afër qytetarëve duke inkurajuar zhvillimin e qëndrueshëm dhe të integruar të të gjitha llojeve të territoreve dhe nismave lokale</w:t>
            </w:r>
          </w:p>
        </w:tc>
        <w:tc>
          <w:tcPr>
            <w:tcW w:w="912" w:type="pct"/>
            <w:gridSpan w:val="3"/>
            <w:tcBorders>
              <w:top w:val="single" w:sz="4" w:space="0" w:color="auto"/>
              <w:left w:val="single" w:sz="4" w:space="0" w:color="auto"/>
              <w:bottom w:val="single" w:sz="4" w:space="0" w:color="auto"/>
              <w:right w:val="single" w:sz="4" w:space="0" w:color="auto"/>
            </w:tcBorders>
            <w:hideMark/>
          </w:tcPr>
          <w:p w:rsidR="00060D84" w:rsidRPr="001D50E3" w:rsidRDefault="00F47ED4" w:rsidP="00754C28">
            <w:pPr>
              <w:spacing w:line="276" w:lineRule="auto"/>
              <w:rPr>
                <w:rFonts w:ascii="Arial" w:eastAsia="Times New Roman" w:hAnsi="Arial" w:cs="Arial"/>
                <w:i/>
                <w:iCs/>
                <w:noProof/>
                <w:lang w:eastAsia="en-GB"/>
              </w:rPr>
            </w:pPr>
            <w:r w:rsidRPr="001D50E3">
              <w:rPr>
                <w:rFonts w:ascii="Arial" w:eastAsia="Times New Roman" w:hAnsi="Arial" w:cs="Arial"/>
                <w:i/>
                <w:iCs/>
                <w:noProof/>
                <w:lang w:eastAsia="en-GB"/>
              </w:rPr>
              <w:t>Promovimi i zhvillimit të integruar social, ekonomik dhe mjedisor, trashëgimisë kulturore dhe sigurisë në zona të ndryshme nga ato urbane</w:t>
            </w:r>
          </w:p>
        </w:tc>
        <w:tc>
          <w:tcPr>
            <w:tcW w:w="1039" w:type="pct"/>
            <w:gridSpan w:val="5"/>
            <w:tcBorders>
              <w:top w:val="single" w:sz="4" w:space="0" w:color="auto"/>
              <w:left w:val="single" w:sz="4" w:space="0" w:color="auto"/>
              <w:bottom w:val="single" w:sz="4" w:space="0" w:color="auto"/>
              <w:right w:val="single" w:sz="4" w:space="0" w:color="auto"/>
            </w:tcBorders>
            <w:hideMark/>
          </w:tcPr>
          <w:p w:rsidR="00060D84" w:rsidRPr="001D50E3" w:rsidRDefault="00F47ED4" w:rsidP="00754C28">
            <w:pPr>
              <w:spacing w:line="276" w:lineRule="auto"/>
              <w:rPr>
                <w:rFonts w:ascii="Arial" w:eastAsia="Times New Roman" w:hAnsi="Arial" w:cs="Arial"/>
                <w:b/>
                <w:iCs/>
                <w:noProof/>
                <w:lang w:eastAsia="en-GB"/>
              </w:rPr>
            </w:pPr>
            <w:r w:rsidRPr="001D50E3">
              <w:rPr>
                <w:rFonts w:ascii="Arial" w:eastAsia="Times New Roman" w:hAnsi="Arial" w:cs="Arial"/>
                <w:b/>
                <w:iCs/>
                <w:noProof/>
                <w:lang w:eastAsia="en-GB"/>
              </w:rPr>
              <w:t>Zhvillimi i integruar i rajonit ndërkufitar</w:t>
            </w:r>
          </w:p>
        </w:tc>
        <w:tc>
          <w:tcPr>
            <w:tcW w:w="2175" w:type="pct"/>
            <w:tcBorders>
              <w:top w:val="single" w:sz="4" w:space="0" w:color="auto"/>
              <w:left w:val="single" w:sz="4" w:space="0" w:color="auto"/>
              <w:bottom w:val="single" w:sz="4" w:space="0" w:color="auto"/>
              <w:right w:val="single" w:sz="4" w:space="0" w:color="auto"/>
            </w:tcBorders>
            <w:hideMark/>
          </w:tcPr>
          <w:p w:rsidR="006C3900" w:rsidRPr="001D50E3" w:rsidRDefault="006C3900" w:rsidP="00754C28">
            <w:pPr>
              <w:spacing w:line="276" w:lineRule="auto"/>
              <w:jc w:val="both"/>
              <w:rPr>
                <w:rFonts w:ascii="Arial" w:eastAsia="Times New Roman" w:hAnsi="Arial" w:cs="Arial"/>
                <w:i/>
                <w:iCs/>
                <w:noProof/>
                <w:lang w:val="en-US" w:eastAsia="en-GB"/>
              </w:rPr>
            </w:pPr>
          </w:p>
          <w:p w:rsidR="006C3900" w:rsidRPr="001D50E3" w:rsidRDefault="006C3900" w:rsidP="00754C28">
            <w:pPr>
              <w:spacing w:line="276" w:lineRule="auto"/>
              <w:jc w:val="both"/>
              <w:rPr>
                <w:rFonts w:ascii="Arial" w:eastAsia="Times New Roman" w:hAnsi="Arial" w:cs="Arial"/>
                <w:i/>
                <w:iCs/>
                <w:noProof/>
                <w:lang w:val="en-US" w:eastAsia="en-GB"/>
              </w:rPr>
            </w:pPr>
            <w:r w:rsidRPr="001D50E3">
              <w:rPr>
                <w:rFonts w:ascii="Arial" w:eastAsia="Times New Roman" w:hAnsi="Arial" w:cs="Arial"/>
                <w:i/>
                <w:iCs/>
                <w:noProof/>
                <w:lang w:val="en-US" w:eastAsia="en-GB"/>
              </w:rPr>
              <w:t xml:space="preserve">Rritja e pritshme e pabarazive rajonale, urbane -Ndarja rurale dhe nevoja për të inkurajuar zbatimin e Synimit të Zhvillimit të Qëndrueshëm "Mos lini Askënd Pas" thirrjes për politika të integruara në nivel lokal në kontrast me qasjen sektoriale që ende dominon praktikat e zhvillimit lokal në zonën ndërkufitare. Kjo thekson rëndësinë e qasjeve të përshtatura të bazuara në vendin dhe jo politikat territoriale të verbëra që kanë pak të bëjnë me realitetin territorial. Nevoja për të luftuar efektet ekonomike të shpërndara në mënyrë të pabarabartë të ndërhyrjeve të izoluara dhe sporadike ka nxitur konceptin e zhvillimit territorial pjesëmarrës dhe të integruar që mund të rrisë gjithëpërfshirjen, qëndrueshmërinë dhe konkurrencën duke bashkuar aktorët kryesorë nga çdo zinxhir sektorial i vlerës në kooperativa. Dallimet në aksesin në shërbimet e interesit të përgjithshëm inkurajojnë ofruesit e shërbimeve, ndërmarrjet dhe aktivitetet sociale që të lëvizin në zona me akses më të mirë. Kjo është veçanërisht e vërtetë në zonat e largëta që nuk kanë akses në shërbimet publike dhe mundësi ekonomike dhe sociale. Kufiri paraqet barrierë dhe aktiviteti i biznesit mbetet kryesisht lokal dhe urban, me mungesë dhe ndikim ndërkufitar. Lidhjet që mungojnë në ofrimin ndërkufitar të shërbimeve të biznesit dhe ato me interes të përgjithshëm janë faktori kryesor që qëndron pas dinamikës negative demografike dhe ekonomisë inerte që shfaq zona. Zgjedhja e objektivit specifik është bërë për të adresuar këto sfida, duke marrë parasysh përafrimin me prioritetet bazë të Axhendës Territoriale 2030. Kështu, programi do të kontribuojë në prioritetin "Evropa e </w:t>
            </w:r>
            <w:r w:rsidRPr="001D50E3">
              <w:rPr>
                <w:rFonts w:ascii="Arial" w:eastAsia="Times New Roman" w:hAnsi="Arial" w:cs="Arial"/>
                <w:i/>
                <w:iCs/>
                <w:noProof/>
                <w:lang w:val="en-US" w:eastAsia="en-GB"/>
              </w:rPr>
              <w:lastRenderedPageBreak/>
              <w:t>Drejtë" e Axhendës Territoriale 2030 duke aplikuar një qasje të bazuar në vend, në krahasim me një pikë-përqasjeje. Kjo përfshin përfshirjen e të gjithë aktorëve që luajnë role aktive në ekonominë kufitare dhe duke mundësuar kështu krijimin e partneriteteve menaxheriale multi-sektoriale, të përgjegjshme dhe me shumë nivele për të mbështetur prosperitetin e rajonit kufitar. Objektivi specifik i përzgjedhur ofron një kornizë strategjike për bashkimin e biznesit, qytetarëve dhe autoriteteve në veprime kolektive që prodhojnë përfitime reciproke dhe zgjidhje të pranuara gjerësisht për sfidat më urgjente të përbashkëta territoriale.</w:t>
            </w:r>
          </w:p>
          <w:p w:rsidR="006C3900" w:rsidRPr="001D50E3" w:rsidRDefault="006C3900" w:rsidP="00754C28">
            <w:pPr>
              <w:spacing w:line="276" w:lineRule="auto"/>
              <w:jc w:val="both"/>
              <w:rPr>
                <w:rFonts w:ascii="Arial" w:eastAsia="Times New Roman" w:hAnsi="Arial" w:cs="Arial"/>
                <w:i/>
                <w:iCs/>
                <w:noProof/>
                <w:lang w:val="en-US" w:eastAsia="en-GB"/>
              </w:rPr>
            </w:pPr>
          </w:p>
          <w:p w:rsidR="006C3900" w:rsidRPr="001D50E3" w:rsidRDefault="006C3900" w:rsidP="00754C28">
            <w:pPr>
              <w:spacing w:line="276" w:lineRule="auto"/>
              <w:jc w:val="both"/>
              <w:rPr>
                <w:rFonts w:ascii="Arial" w:eastAsia="Times New Roman" w:hAnsi="Arial" w:cs="Arial"/>
                <w:i/>
                <w:iCs/>
                <w:noProof/>
                <w:lang w:val="en-US" w:eastAsia="en-GB"/>
              </w:rPr>
            </w:pPr>
          </w:p>
          <w:p w:rsidR="006934A2" w:rsidRPr="001D50E3" w:rsidRDefault="006934A2" w:rsidP="00754C28">
            <w:pPr>
              <w:spacing w:line="276" w:lineRule="auto"/>
              <w:jc w:val="both"/>
              <w:rPr>
                <w:rFonts w:ascii="Arial" w:eastAsia="Times New Roman" w:hAnsi="Arial" w:cs="Arial"/>
                <w:i/>
                <w:iCs/>
                <w:noProof/>
                <w:lang w:eastAsia="en-GB"/>
              </w:rPr>
            </w:pPr>
          </w:p>
        </w:tc>
      </w:tr>
    </w:tbl>
    <w:p w:rsidR="00060D84" w:rsidRPr="001D50E3" w:rsidRDefault="00060D84" w:rsidP="00060D84">
      <w:pPr>
        <w:jc w:val="both"/>
        <w:rPr>
          <w:rFonts w:ascii="Arial" w:hAnsi="Arial" w:cs="Arial"/>
        </w:rPr>
      </w:pPr>
    </w:p>
    <w:p w:rsidR="00FF2EC0" w:rsidRPr="001D50E3" w:rsidRDefault="00FF2EC0" w:rsidP="00754C28">
      <w:pPr>
        <w:spacing w:line="276" w:lineRule="auto"/>
        <w:ind w:firstLine="720"/>
        <w:rPr>
          <w:rFonts w:ascii="Arial" w:hAnsi="Arial" w:cs="Arial"/>
          <w:b/>
        </w:rPr>
      </w:pPr>
      <w:r w:rsidRPr="001D50E3">
        <w:rPr>
          <w:rFonts w:ascii="Arial" w:hAnsi="Arial" w:cs="Arial"/>
          <w:b/>
        </w:rPr>
        <w:t>2.Prioritetet [300]</w:t>
      </w:r>
    </w:p>
    <w:p w:rsidR="00FF2EC0" w:rsidRPr="001D50E3" w:rsidRDefault="00FF2EC0" w:rsidP="00754C28">
      <w:pPr>
        <w:spacing w:line="276" w:lineRule="auto"/>
        <w:rPr>
          <w:rFonts w:ascii="Arial" w:hAnsi="Arial" w:cs="Arial"/>
          <w:b/>
        </w:rPr>
      </w:pPr>
      <w:r w:rsidRPr="001D50E3">
        <w:rPr>
          <w:rFonts w:ascii="Arial" w:hAnsi="Arial" w:cs="Arial"/>
          <w:b/>
        </w:rPr>
        <w:t>Referenca: pikat (d) dhe (e) të nenit 17 (3)</w:t>
      </w:r>
    </w:p>
    <w:p w:rsidR="00FF2EC0" w:rsidRPr="001D50E3" w:rsidRDefault="00FF2EC0" w:rsidP="00754C28">
      <w:pPr>
        <w:spacing w:line="276" w:lineRule="auto"/>
        <w:rPr>
          <w:rFonts w:ascii="Arial" w:hAnsi="Arial" w:cs="Arial"/>
          <w:b/>
        </w:rPr>
      </w:pPr>
      <w:r w:rsidRPr="001D50E3">
        <w:rPr>
          <w:rFonts w:ascii="Arial" w:hAnsi="Arial" w:cs="Arial"/>
          <w:b/>
        </w:rPr>
        <w:t>2.1. Prioriteti 1. Rajoni kufitar më i gjelbër</w:t>
      </w:r>
    </w:p>
    <w:p w:rsidR="00FF2EC0" w:rsidRPr="00754C28" w:rsidRDefault="00FF2EC0" w:rsidP="00754C28">
      <w:pPr>
        <w:spacing w:line="276" w:lineRule="auto"/>
        <w:rPr>
          <w:rFonts w:ascii="Arial" w:hAnsi="Arial" w:cs="Arial"/>
          <w:b/>
          <w:lang w:val="mk-MK"/>
        </w:rPr>
      </w:pPr>
      <w:r w:rsidRPr="001D50E3">
        <w:rPr>
          <w:rFonts w:ascii="Arial" w:hAnsi="Arial" w:cs="Arial"/>
          <w:b/>
        </w:rPr>
        <w:t>Referenca: pika (d) e nenit 17 (3)</w:t>
      </w:r>
    </w:p>
    <w:tbl>
      <w:tblPr>
        <w:tblStyle w:val="TableGrid"/>
        <w:tblW w:w="0" w:type="auto"/>
        <w:tblLook w:val="04A0" w:firstRow="1" w:lastRow="0" w:firstColumn="1" w:lastColumn="0" w:noHBand="0" w:noVBand="1"/>
      </w:tblPr>
      <w:tblGrid>
        <w:gridCol w:w="9242"/>
      </w:tblGrid>
      <w:tr w:rsidR="00FF2EC0" w:rsidRPr="001D50E3" w:rsidTr="00754C28">
        <w:tc>
          <w:tcPr>
            <w:tcW w:w="9242" w:type="dxa"/>
          </w:tcPr>
          <w:p w:rsidR="00FF2EC0" w:rsidRPr="001D50E3" w:rsidRDefault="00FF2EC0" w:rsidP="00754C28">
            <w:pPr>
              <w:jc w:val="both"/>
              <w:rPr>
                <w:rFonts w:ascii="Arial" w:hAnsi="Arial" w:cs="Arial"/>
                <w:lang w:val="en-US"/>
              </w:rPr>
            </w:pPr>
            <w:r w:rsidRPr="001D50E3">
              <w:rPr>
                <w:rFonts w:ascii="Arial" w:hAnsi="Arial" w:cs="Arial"/>
              </w:rPr>
              <w:t>Kutia e tekstit: [300]</w:t>
            </w:r>
          </w:p>
          <w:p w:rsidR="00FF2EC0" w:rsidRPr="00754C28" w:rsidRDefault="00FF2EC0" w:rsidP="00754C28">
            <w:pPr>
              <w:jc w:val="both"/>
              <w:rPr>
                <w:rFonts w:ascii="Arial" w:hAnsi="Arial" w:cs="Arial"/>
                <w:lang w:val="mk-MK"/>
              </w:rPr>
            </w:pPr>
            <w:r w:rsidRPr="001D50E3">
              <w:rPr>
                <w:rFonts w:ascii="Arial" w:hAnsi="Arial" w:cs="Arial"/>
              </w:rPr>
              <w:t>Promovimi i tranzicionit të pastër dhe të barabartë të energjisë, investimeve jeshile dhe blu, ekonomisë rrethore, përshtatjes dhe parandalimit të klimës dhe menaxhimit të rrezikut në rajonin ndërkufitar</w:t>
            </w:r>
          </w:p>
        </w:tc>
      </w:tr>
    </w:tbl>
    <w:p w:rsidR="00FF2EC0" w:rsidRPr="001D50E3" w:rsidRDefault="00FF2EC0" w:rsidP="00754C28">
      <w:pPr>
        <w:spacing w:line="276" w:lineRule="auto"/>
        <w:rPr>
          <w:rFonts w:ascii="Arial" w:hAnsi="Arial" w:cs="Arial"/>
          <w:lang w:val="en-US"/>
        </w:rPr>
      </w:pPr>
    </w:p>
    <w:p w:rsidR="00FF2EC0" w:rsidRPr="001D50E3" w:rsidRDefault="00FF2EC0" w:rsidP="00754C28">
      <w:pPr>
        <w:spacing w:line="276" w:lineRule="auto"/>
        <w:rPr>
          <w:rFonts w:ascii="Arial" w:hAnsi="Arial" w:cs="Arial"/>
          <w:b/>
        </w:rPr>
      </w:pPr>
      <w:r w:rsidRPr="001D50E3">
        <w:rPr>
          <w:rFonts w:ascii="Arial" w:hAnsi="Arial" w:cs="Arial"/>
          <w:b/>
        </w:rPr>
        <w:t>2.1.1. Qëllimi specifik (përsëritet për çdo qëllim specifik të zgjedhur)</w:t>
      </w:r>
    </w:p>
    <w:tbl>
      <w:tblPr>
        <w:tblStyle w:val="TableGrid"/>
        <w:tblW w:w="0" w:type="auto"/>
        <w:tblLook w:val="04A0" w:firstRow="1" w:lastRow="0" w:firstColumn="1" w:lastColumn="0" w:noHBand="0" w:noVBand="1"/>
      </w:tblPr>
      <w:tblGrid>
        <w:gridCol w:w="9242"/>
      </w:tblGrid>
      <w:tr w:rsidR="00FF2EC0" w:rsidRPr="001D50E3" w:rsidTr="00754C28">
        <w:tc>
          <w:tcPr>
            <w:tcW w:w="9242" w:type="dxa"/>
          </w:tcPr>
          <w:p w:rsidR="00FF2EC0" w:rsidRPr="001D50E3" w:rsidRDefault="00FF2EC0" w:rsidP="00754C28">
            <w:pPr>
              <w:spacing w:line="276" w:lineRule="auto"/>
              <w:jc w:val="both"/>
              <w:rPr>
                <w:rFonts w:ascii="Arial" w:hAnsi="Arial" w:cs="Arial"/>
                <w:lang w:val="en-US"/>
              </w:rPr>
            </w:pPr>
            <w:r w:rsidRPr="001D50E3">
              <w:rPr>
                <w:rFonts w:ascii="Arial" w:hAnsi="Arial" w:cs="Arial"/>
              </w:rPr>
              <w:t>Kutia e tekstit: [300]</w:t>
            </w:r>
          </w:p>
          <w:p w:rsidR="00FF2EC0" w:rsidRPr="00754C28" w:rsidRDefault="00FF2EC0" w:rsidP="00754C28">
            <w:pPr>
              <w:pStyle w:val="ListParagraph"/>
              <w:numPr>
                <w:ilvl w:val="1"/>
                <w:numId w:val="1"/>
              </w:numPr>
              <w:spacing w:after="0"/>
              <w:jc w:val="both"/>
              <w:rPr>
                <w:rFonts w:ascii="Arial" w:hAnsi="Arial" w:cs="Arial"/>
              </w:rPr>
            </w:pPr>
            <w:r w:rsidRPr="001D50E3">
              <w:rPr>
                <w:rFonts w:ascii="Arial" w:hAnsi="Arial" w:cs="Arial"/>
              </w:rPr>
              <w:t>Përmirësimi i mbrojtjes dhe ruajtjes së natyrës, biodiversitetit dhe infrastrukturës së gjelbër, duke përfshirë zonat urbane, dhe redukton të gjitha format e ndotjes</w:t>
            </w:r>
          </w:p>
        </w:tc>
      </w:tr>
    </w:tbl>
    <w:p w:rsidR="00FF2EC0" w:rsidRPr="001D50E3" w:rsidRDefault="00FF2EC0" w:rsidP="00754C28">
      <w:pPr>
        <w:spacing w:line="276" w:lineRule="auto"/>
        <w:jc w:val="both"/>
        <w:rPr>
          <w:rFonts w:ascii="Arial" w:hAnsi="Arial" w:cs="Arial"/>
          <w:lang w:val="en-US"/>
        </w:rPr>
      </w:pPr>
    </w:p>
    <w:p w:rsidR="00FF2EC0" w:rsidRPr="001D50E3" w:rsidRDefault="00FF2EC0" w:rsidP="00754C28">
      <w:pPr>
        <w:spacing w:line="276" w:lineRule="auto"/>
        <w:jc w:val="both"/>
        <w:rPr>
          <w:rFonts w:ascii="Arial" w:hAnsi="Arial" w:cs="Arial"/>
          <w:b/>
        </w:rPr>
      </w:pPr>
      <w:r w:rsidRPr="001D50E3">
        <w:rPr>
          <w:rFonts w:ascii="Arial" w:hAnsi="Arial" w:cs="Arial"/>
          <w:b/>
        </w:rPr>
        <w:t>Referenca: pika (e) e nenit 17 (3)</w:t>
      </w:r>
    </w:p>
    <w:p w:rsidR="00FF2EC0" w:rsidRPr="001D50E3" w:rsidRDefault="00FF2EC0" w:rsidP="00754C28">
      <w:pPr>
        <w:spacing w:line="276" w:lineRule="auto"/>
        <w:jc w:val="both"/>
        <w:rPr>
          <w:rFonts w:ascii="Arial" w:hAnsi="Arial" w:cs="Arial"/>
        </w:rPr>
      </w:pPr>
      <w:r w:rsidRPr="001D50E3">
        <w:rPr>
          <w:rFonts w:ascii="Arial" w:hAnsi="Arial" w:cs="Arial"/>
          <w:b/>
        </w:rPr>
        <w:t>2.1.2. Llojet e ndërlidhura të veprimeve dhe kontributi i tyre i pritshëm në ato objektiva specifike dhe strategji makro-rajonale dhe në det të hapur, kur ësh</w:t>
      </w:r>
      <w:r w:rsidRPr="001D50E3">
        <w:rPr>
          <w:rFonts w:ascii="Arial" w:hAnsi="Arial" w:cs="Arial"/>
        </w:rPr>
        <w:t>të e përshtatshme</w:t>
      </w:r>
    </w:p>
    <w:p w:rsidR="00FF2EC0" w:rsidRPr="001D50E3" w:rsidRDefault="00FF2EC0" w:rsidP="00754C28">
      <w:pPr>
        <w:spacing w:line="276" w:lineRule="auto"/>
        <w:jc w:val="both"/>
        <w:rPr>
          <w:rFonts w:ascii="Arial" w:hAnsi="Arial" w:cs="Arial"/>
        </w:rPr>
      </w:pPr>
      <w:r w:rsidRPr="001D50E3">
        <w:rPr>
          <w:rFonts w:ascii="Arial" w:hAnsi="Arial" w:cs="Arial"/>
        </w:rPr>
        <w:t>Referenca: Neni 17 (3) (e) (i), Neni 17 (9) (c) (9)</w:t>
      </w:r>
    </w:p>
    <w:tbl>
      <w:tblPr>
        <w:tblStyle w:val="TableGrid"/>
        <w:tblW w:w="0" w:type="auto"/>
        <w:tblLook w:val="04A0" w:firstRow="1" w:lastRow="0" w:firstColumn="1" w:lastColumn="0" w:noHBand="0" w:noVBand="1"/>
      </w:tblPr>
      <w:tblGrid>
        <w:gridCol w:w="9242"/>
      </w:tblGrid>
      <w:tr w:rsidR="00FF2EC0" w:rsidRPr="001D50E3" w:rsidTr="00754C28">
        <w:tc>
          <w:tcPr>
            <w:tcW w:w="9242" w:type="dxa"/>
          </w:tcPr>
          <w:p w:rsidR="00FF2EC0" w:rsidRPr="001D50E3" w:rsidRDefault="00FF2EC0" w:rsidP="00754C2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Times New Roman" w:hAnsi="Arial" w:cs="Arial"/>
                <w:color w:val="202124"/>
                <w:lang w:eastAsia="mk-MK"/>
              </w:rPr>
            </w:pPr>
            <w:r w:rsidRPr="001D50E3">
              <w:rPr>
                <w:rFonts w:ascii="Arial" w:eastAsia="Times New Roman" w:hAnsi="Arial" w:cs="Arial"/>
                <w:color w:val="202124"/>
                <w:lang w:val="sq-AL" w:eastAsia="mk-MK"/>
              </w:rPr>
              <w:lastRenderedPageBreak/>
              <w:t>Prioriteti 1 Rajoni kufitar më i gjelbër nën CP 2 "Një Evropë më e gjelbër me më pak karbon duke promovuar një tranzicion të pastër dhe të drejtë të energjisë, investime jeshile dhe blu, një ekonomi rrethore, përshtatje klimatike dhe parandalim dhe menaxhim të rrezikut" u zgjodh sepse shfrytëzimi i formave të reja ekosisteme- shërbimet e bazuara, të cilat bazohen në një shumëllojshmëri të gjerë masash të gjelbërimit, do të kontribuonin në ruajtjen e një mjedisi të shëndetshëm të gjelbër, fizik dhe mjedisor, dhe përveç kësaj do të gjeneronin përfitime të paprekshme për njerëzit, duke përfshirë cilësitë estetike dhe përvojat rekreative.</w:t>
            </w:r>
          </w:p>
          <w:p w:rsidR="00FF2EC0" w:rsidRPr="001D50E3" w:rsidRDefault="00FF2EC0" w:rsidP="00754C2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Times New Roman" w:hAnsi="Arial" w:cs="Arial"/>
                <w:color w:val="202124"/>
                <w:lang w:eastAsia="mk-MK"/>
              </w:rPr>
            </w:pPr>
            <w:r w:rsidRPr="001D50E3">
              <w:rPr>
                <w:rFonts w:ascii="Arial" w:eastAsia="Times New Roman" w:hAnsi="Arial" w:cs="Arial"/>
                <w:color w:val="202124"/>
                <w:lang w:eastAsia="mk-MK"/>
              </w:rPr>
              <w:t>Lidhja midis biodiversitetit dhe ofrimit të shërbimeve të ekosistemit nuk është vendosur ende në zonën e CAP, pavarësisht nga numri i madh i zonave natyrore që gëzojnë statuse të ndryshme ruajtjeje kombëtare dhe ndërkombëtare. Analiza territoriale e programit rendit si problemet më të mëdha mjedisore në rajonin kufitar ndotjen e lumenjve, përmbytjet, rrëshqitjet e dheut dhe zjarret. Ka pjesë të lumenjve shumë të ndotura, veçanërisht në zonën ujëmbledhëse të Strumës, Bregalnicës, Strumicës dhe një pjesë të lumit Vardar që kryesisht dalin nga rrjedha e drejtpërdrejtë e ujërave të zeza nga industria (dhe minierat) dhe amvisëritë, depozitat e minierave dhe shfrytëzimi i pesticideve. dhe plehrat në bujqësi.</w:t>
            </w:r>
          </w:p>
          <w:p w:rsidR="00FF2EC0" w:rsidRPr="001D50E3" w:rsidRDefault="00FF2EC0" w:rsidP="00754C28">
            <w:pPr>
              <w:pStyle w:val="HTMLPreformatted"/>
              <w:shd w:val="clear" w:color="auto" w:fill="F8F9FA"/>
              <w:spacing w:line="276" w:lineRule="auto"/>
              <w:jc w:val="both"/>
              <w:rPr>
                <w:rFonts w:ascii="Arial" w:hAnsi="Arial" w:cs="Arial"/>
                <w:color w:val="202124"/>
                <w:sz w:val="22"/>
                <w:szCs w:val="22"/>
              </w:rPr>
            </w:pPr>
            <w:r w:rsidRPr="001D50E3">
              <w:rPr>
                <w:rFonts w:ascii="Arial" w:hAnsi="Arial" w:cs="Arial"/>
                <w:color w:val="202124"/>
                <w:sz w:val="22"/>
                <w:szCs w:val="22"/>
              </w:rPr>
              <w:t>Sipas Strategjisë së Biodiversitetit të BE-së 2030, ekosistemet dhe shërbimet e tyre mund të mirëmbahen dhe përmirësohen duke krijuar infrastrukturë të gjelbër (GI) dhe duke rivendosur ekosistemet e degraduara. ZI është një rrjet i planifikuar strategjikisht i zonave natyrore dhe gjysmë-natyrore që synojnë të ofrojnë një gamë të gjerë shërbimesh ekosistemit me ndikim pozitiv në të gjithë komponentët mjedisorë. Siç theksohet në Strategjinë e BE-së për Infrastrukturën e Gjelbër, investimet në IP kanë potencial të rëndësishëm për rritjen e zhvillimit rajonal dhe urban, duke përfshirë mirëmbajtjen ose krijimin e vendeve të punës.</w:t>
            </w:r>
            <w:r w:rsidRPr="001D50E3">
              <w:rPr>
                <w:rStyle w:val="HTMLPreformattedChar"/>
                <w:rFonts w:ascii="Arial" w:eastAsiaTheme="minorHAnsi" w:hAnsi="Arial" w:cs="Arial"/>
                <w:color w:val="202124"/>
                <w:sz w:val="22"/>
                <w:szCs w:val="22"/>
                <w:lang w:val="sq-AL"/>
              </w:rPr>
              <w:t xml:space="preserve"> </w:t>
            </w:r>
            <w:r w:rsidRPr="001D50E3">
              <w:rPr>
                <w:rStyle w:val="y2iqfc"/>
                <w:rFonts w:ascii="Arial" w:hAnsi="Arial" w:cs="Arial"/>
                <w:color w:val="202124"/>
                <w:sz w:val="22"/>
                <w:szCs w:val="22"/>
                <w:lang w:val="sq-AL"/>
              </w:rPr>
              <w:t>Zhvillimi i shërbimeve të bazuara në ekosistem në fushën e bashkëpunimit ndërkufitar do të përmirësojë praktikat e gjelbërimit që do të përfitojnë nga potenciali ekzistues i rajonit kufitar dhe do të bazohet në natyrën dhe peizazhin e ruajtur mirë, biodiversitetin e pasur, shumë zona të mbrojtura dhe peizazhet, masat e marra për mbrojtjen e mjedisit dhe parandalimin dhe zbutjen e rrezikut.</w:t>
            </w:r>
          </w:p>
          <w:p w:rsidR="00FF2EC0" w:rsidRPr="001D50E3" w:rsidRDefault="00FF2EC0" w:rsidP="00754C28">
            <w:pPr>
              <w:pStyle w:val="HTMLPreformatted"/>
              <w:shd w:val="clear" w:color="auto" w:fill="F8F9FA"/>
              <w:spacing w:line="276" w:lineRule="auto"/>
              <w:jc w:val="both"/>
              <w:rPr>
                <w:rFonts w:ascii="Arial" w:hAnsi="Arial" w:cs="Arial"/>
                <w:color w:val="202124"/>
                <w:sz w:val="22"/>
                <w:szCs w:val="22"/>
              </w:rPr>
            </w:pPr>
            <w:r w:rsidRPr="001D50E3">
              <w:rPr>
                <w:rStyle w:val="y2iqfc"/>
                <w:rFonts w:ascii="Arial" w:hAnsi="Arial" w:cs="Arial"/>
                <w:color w:val="202124"/>
                <w:sz w:val="22"/>
                <w:szCs w:val="22"/>
                <w:lang w:val="sq-AL"/>
              </w:rPr>
              <w:t>Investimet në fushën e mbrojtjes së mjedisit dhe menaxhimit të rrezikut bazohen në nevojat e zonës së programit, si: infrastruktura e pamjaftueshme mjedisore, rreziqet mjedisore, ndërgjegjësimi i pamjaftueshëm i publikut për kërcënimet mjedisore dhe njohja e pamjaftueshme e zgjidhjeve mjedisore etj. Duke u mbështetur në potencialin tashmë ekzistues të zonës kufitare, përkatësisht: natyrën dhe peizazhin e mirëmbajtur, biodiversitetin e pasur, numrin e madh të zonave dhe peizazheve të mbrojtura, investimet në mbrojtjen e mjedisit dhe parandalimin dhe zbutjen e rrezikut janë parakushte absolute për krijimin e kushteve më të mira të jetesës për njerëzit. në zonën kufitare dhe zhvillim të qëndrueshëm ekonomik.</w:t>
            </w:r>
          </w:p>
          <w:p w:rsidR="00FF2EC0" w:rsidRPr="001D50E3" w:rsidRDefault="00FF2EC0" w:rsidP="00754C28">
            <w:pPr>
              <w:pStyle w:val="HTMLPreformatted"/>
              <w:shd w:val="clear" w:color="auto" w:fill="F8F9FA"/>
              <w:spacing w:line="276" w:lineRule="auto"/>
              <w:jc w:val="both"/>
              <w:rPr>
                <w:rFonts w:ascii="Arial" w:hAnsi="Arial" w:cs="Arial"/>
                <w:color w:val="202124"/>
                <w:sz w:val="22"/>
                <w:szCs w:val="22"/>
              </w:rPr>
            </w:pPr>
            <w:r w:rsidRPr="001D50E3">
              <w:rPr>
                <w:rStyle w:val="y2iqfc"/>
                <w:rFonts w:ascii="Arial" w:hAnsi="Arial" w:cs="Arial"/>
                <w:color w:val="202124"/>
                <w:sz w:val="22"/>
                <w:szCs w:val="22"/>
                <w:lang w:val="sq-AL"/>
              </w:rPr>
              <w:t>Ndërhyrjet e propozuara synojnë të zbusin rreziqet e humbjes së ekosistemit, biodiversitetit të rrezikuar për shkak të ndotjes shtesë, ndryshimeve të forta klimatike. Gjithashtu, zbatimi i masave të dedikuara për uljen e ndotjes dhe mbrojtjen e biodiversitetit do të përmirësojë mbrojtjen e natyrës në të mirë të njerëzve dhe ekonomisë. Bashkëpunimi ndërkufitar në këtë fushë të politikës pritet të zhbllokojë potencialin për një zgjidhje të bazuar në ekosistemin, e justifikuar nga prania e biodiversitetit të pasur, si dhe nga mundësitë e mëdha për të ndërtuar mbi arritjet biologjike të dy periudhave të mëparshme programore. .</w:t>
            </w:r>
          </w:p>
          <w:p w:rsidR="00FF2EC0" w:rsidRPr="001D50E3" w:rsidRDefault="00FF2EC0" w:rsidP="00754C2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Times New Roman" w:hAnsi="Arial" w:cs="Arial"/>
                <w:color w:val="202124"/>
                <w:lang w:eastAsia="mk-MK"/>
              </w:rPr>
            </w:pPr>
            <w:r w:rsidRPr="001D50E3">
              <w:rPr>
                <w:rFonts w:ascii="Arial" w:eastAsia="Times New Roman" w:hAnsi="Arial" w:cs="Arial"/>
                <w:color w:val="202124"/>
                <w:lang w:eastAsia="mk-MK"/>
              </w:rPr>
              <w:t xml:space="preserve">Koncepti i "infrastrukturës së gjelbër" është relativisht i ri dhe vëmendje e veçantë do t'i kushtohet promovimit të tij dhe zhvillimit të zgjidhjeve pilot që më vonë mund të shumëfishohen. Prandaj, zbatimi i qëllimit specifik do të bazohet në metodat e mëposhtme: </w:t>
            </w:r>
            <w:r w:rsidRPr="001D50E3">
              <w:rPr>
                <w:rFonts w:ascii="Arial" w:eastAsia="Times New Roman" w:hAnsi="Arial" w:cs="Arial"/>
                <w:color w:val="202124"/>
                <w:lang w:eastAsia="mk-MK"/>
              </w:rPr>
              <w:lastRenderedPageBreak/>
              <w:t>integrimi (integrimi dhe koordinimi i gjelbërimit urban me infrastrukturat e tjera urbane në aspektin e marrëdhënieve fizike dhe funksionale), multifunksionaliteti (kombinimi i mjedisit, social dhe ekonomik/abiotik, biotik. dhe funksionet kulturore të zonave të gjelbra) dhe lidhshmëria (lidhjet fizike dhe funksionale ndërmjet zonave të gjelbra në shkallë të ndryshme dhe nga këndvështrime të ndryshme).</w:t>
            </w:r>
          </w:p>
          <w:p w:rsidR="00FF2EC0" w:rsidRPr="001D50E3" w:rsidRDefault="00FF2EC0" w:rsidP="00754C2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Times New Roman" w:hAnsi="Arial" w:cs="Arial"/>
                <w:color w:val="202124"/>
                <w:lang w:eastAsia="mk-MK"/>
              </w:rPr>
            </w:pPr>
            <w:r w:rsidRPr="001D50E3">
              <w:rPr>
                <w:rFonts w:ascii="Arial" w:eastAsia="Times New Roman" w:hAnsi="Arial" w:cs="Arial"/>
                <w:color w:val="202124"/>
                <w:lang w:eastAsia="mk-MK"/>
              </w:rPr>
              <w:t>Një listë jo e plotë e veprimeve që do të mbështeten sipas Prioritetit 1 bazohet në tipologjinë e BE-së të EI (Infrastruktura e Gjelbër) dhe mund të paraqitet në grupet e mëposhtme të investimeve:</w:t>
            </w:r>
          </w:p>
          <w:p w:rsidR="00FF2EC0" w:rsidRPr="001D50E3" w:rsidRDefault="00FF2EC0" w:rsidP="00754C2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Times New Roman" w:hAnsi="Arial" w:cs="Arial"/>
                <w:color w:val="202124"/>
                <w:lang w:eastAsia="mk-MK"/>
              </w:rPr>
            </w:pPr>
            <w:r w:rsidRPr="001D50E3">
              <w:rPr>
                <w:rFonts w:ascii="Arial" w:eastAsia="Times New Roman" w:hAnsi="Arial" w:cs="Arial"/>
                <w:color w:val="202124"/>
                <w:lang w:eastAsia="mk-MK"/>
              </w:rPr>
              <w:t>- Investimet për ndërtimin e gjelbërimit (ballkone të gjelbra, mure të gjelbra, çati të gjelbra, hapësira atriumesh, trotuare të gjelbra, parkingje të gjelbra, gardhe të gjelbra, barriera zhurmash, etj.);</w:t>
            </w:r>
          </w:p>
          <w:p w:rsidR="00FF2EC0" w:rsidRPr="001D50E3" w:rsidRDefault="00FF2EC0" w:rsidP="00754C28">
            <w:pPr>
              <w:pStyle w:val="HTMLPreformatted"/>
              <w:shd w:val="clear" w:color="auto" w:fill="F8F9FA"/>
              <w:spacing w:line="276" w:lineRule="auto"/>
              <w:jc w:val="both"/>
              <w:rPr>
                <w:rStyle w:val="y2iqfc"/>
                <w:rFonts w:ascii="Arial" w:hAnsi="Arial" w:cs="Arial"/>
                <w:color w:val="202124"/>
                <w:sz w:val="22"/>
                <w:szCs w:val="22"/>
                <w:lang w:val="sq-AL"/>
              </w:rPr>
            </w:pPr>
            <w:r w:rsidRPr="001D50E3">
              <w:rPr>
                <w:rStyle w:val="y2iqfc"/>
                <w:rFonts w:ascii="Arial" w:hAnsi="Arial" w:cs="Arial"/>
                <w:color w:val="202124"/>
                <w:sz w:val="22"/>
                <w:szCs w:val="22"/>
                <w:lang w:val="sq-AL"/>
              </w:rPr>
              <w:t>Investime për zhvillimin e zonave të gjelbra urbane dhe periurbane, duke përfshirë përmirësimin e lidhjeve midis zonave të gjelbra (rruga dhe pema e rrugës/gardhi, kufiri i gjelbër dhe i gjelbër i rrugës, këndi i gjelbër i lojërave/shkolla, sheshe të gjelbra dhe me ngjyra, gjelbërim. në breg të lumit);</w:t>
            </w:r>
          </w:p>
          <w:p w:rsidR="00FF2EC0" w:rsidRPr="001D50E3" w:rsidRDefault="00FF2EC0" w:rsidP="00754C28">
            <w:pPr>
              <w:pStyle w:val="HTMLPreformatted"/>
              <w:shd w:val="clear" w:color="auto" w:fill="F8F9FA"/>
              <w:spacing w:line="276" w:lineRule="auto"/>
              <w:jc w:val="both"/>
              <w:rPr>
                <w:rFonts w:ascii="Arial" w:hAnsi="Arial" w:cs="Arial"/>
                <w:color w:val="202124"/>
                <w:sz w:val="22"/>
                <w:szCs w:val="22"/>
              </w:rPr>
            </w:pPr>
            <w:r w:rsidRPr="001D50E3">
              <w:rPr>
                <w:rStyle w:val="y2iqfc"/>
                <w:rFonts w:ascii="Arial" w:hAnsi="Arial" w:cs="Arial"/>
                <w:color w:val="202124"/>
                <w:sz w:val="22"/>
                <w:szCs w:val="22"/>
                <w:lang w:val="sq-AL"/>
              </w:rPr>
              <w:t>- Investimet për zhvillimin e zonave të gjelbra natyrore urbane (park urban, park historik/kopsht, park xhepi/park me qira, hapësira e gjelbër në lagje, hapësira e gjelbër institucionale, objekt i gjelbër sportiv, pyll, shkurre, zona të braktisura dhe të braktisura me shkretëtirë);</w:t>
            </w:r>
          </w:p>
          <w:p w:rsidR="00FF2EC0" w:rsidRPr="001D50E3" w:rsidRDefault="00FF2EC0" w:rsidP="00754C28">
            <w:pPr>
              <w:pStyle w:val="HTMLPreformatted"/>
              <w:shd w:val="clear" w:color="auto" w:fill="F8F9FA"/>
              <w:spacing w:line="276" w:lineRule="auto"/>
              <w:jc w:val="both"/>
              <w:rPr>
                <w:rStyle w:val="y2iqfc"/>
                <w:rFonts w:ascii="Arial" w:hAnsi="Arial" w:cs="Arial"/>
                <w:color w:val="202124"/>
                <w:sz w:val="22"/>
                <w:szCs w:val="22"/>
                <w:lang w:val="sq-AL"/>
              </w:rPr>
            </w:pPr>
            <w:r w:rsidRPr="001D50E3">
              <w:rPr>
                <w:rStyle w:val="y2iqfc"/>
                <w:rFonts w:ascii="Arial" w:hAnsi="Arial" w:cs="Arial"/>
                <w:color w:val="202124"/>
                <w:sz w:val="22"/>
                <w:szCs w:val="22"/>
                <w:lang w:val="sq-AL"/>
              </w:rPr>
              <w:t>- Investimet për zhvillimin e zonave të gjelbra për menaxhimin e ujërave (pyje, restaurimi i përrenjve dhe mbrojtja e natyrës, kopshte shiu ose sisteme të qëndrueshme kullimi urban - SUDS), pellg të natyralizuar me ujë të stuhisë, zona bio-mbajtjeje);</w:t>
            </w:r>
          </w:p>
          <w:p w:rsidR="00FF2EC0" w:rsidRPr="001D50E3" w:rsidRDefault="00FF2EC0" w:rsidP="00754C28">
            <w:pPr>
              <w:pStyle w:val="HTMLPreformatted"/>
              <w:shd w:val="clear" w:color="auto" w:fill="F8F9FA"/>
              <w:spacing w:line="276" w:lineRule="auto"/>
              <w:jc w:val="both"/>
              <w:rPr>
                <w:rFonts w:ascii="Arial" w:hAnsi="Arial" w:cs="Arial"/>
                <w:color w:val="202124"/>
                <w:sz w:val="22"/>
                <w:szCs w:val="22"/>
              </w:rPr>
            </w:pPr>
            <w:r w:rsidRPr="001D50E3">
              <w:rPr>
                <w:rStyle w:val="y2iqfc"/>
                <w:rFonts w:ascii="Arial" w:hAnsi="Arial" w:cs="Arial"/>
                <w:color w:val="202124"/>
                <w:sz w:val="22"/>
                <w:szCs w:val="22"/>
                <w:lang w:val="sq-AL"/>
              </w:rPr>
              <w:t>- Mbështetje për strategji të përbashkëta dhe plane veprimi për zhvillimin e mjeteve, instrumenteve të reja, si dhe transferimin e zgjidhjeve ndërmjet aktorëve përkatës;</w:t>
            </w:r>
          </w:p>
          <w:p w:rsidR="00FF2EC0" w:rsidRPr="001D50E3" w:rsidRDefault="00FF2EC0" w:rsidP="00754C28">
            <w:pPr>
              <w:pStyle w:val="HTMLPreformatted"/>
              <w:shd w:val="clear" w:color="auto" w:fill="F8F9FA"/>
              <w:spacing w:line="276" w:lineRule="auto"/>
              <w:jc w:val="both"/>
              <w:rPr>
                <w:rStyle w:val="y2iqfc"/>
                <w:rFonts w:ascii="Arial" w:hAnsi="Arial" w:cs="Arial"/>
                <w:color w:val="202124"/>
                <w:sz w:val="22"/>
                <w:szCs w:val="22"/>
                <w:lang w:val="sq-AL"/>
              </w:rPr>
            </w:pPr>
            <w:r w:rsidRPr="001D50E3">
              <w:rPr>
                <w:rStyle w:val="y2iqfc"/>
                <w:rFonts w:ascii="Arial" w:hAnsi="Arial" w:cs="Arial"/>
                <w:color w:val="202124"/>
                <w:sz w:val="22"/>
                <w:szCs w:val="22"/>
                <w:lang w:val="sq-AL"/>
              </w:rPr>
              <w:t>Për qëllime të zbatimit të Prioritetit 1, Programi do të kërkojë të aplikojë instrumente që do të përmbushin buxhetin e kufizuar dhe objektivat e përcaktuara, të tilla si Fondi i Projektit të Vogël ose opsione të tjera të thjeshtuara.</w:t>
            </w:r>
          </w:p>
          <w:p w:rsidR="00FF2EC0" w:rsidRPr="001D50E3" w:rsidRDefault="00FF2EC0" w:rsidP="00754C28">
            <w:pPr>
              <w:pStyle w:val="HTMLPreformatted"/>
              <w:shd w:val="clear" w:color="auto" w:fill="F8F9FA"/>
              <w:spacing w:line="276" w:lineRule="auto"/>
              <w:jc w:val="both"/>
              <w:rPr>
                <w:rStyle w:val="y2iqfc"/>
                <w:rFonts w:ascii="Arial" w:hAnsi="Arial" w:cs="Arial"/>
                <w:color w:val="202124"/>
                <w:sz w:val="22"/>
                <w:szCs w:val="22"/>
                <w:lang w:val="sq-AL"/>
              </w:rPr>
            </w:pPr>
          </w:p>
          <w:p w:rsidR="00FF2EC0" w:rsidRPr="001D50E3" w:rsidRDefault="00FF2EC0" w:rsidP="00754C28">
            <w:pPr>
              <w:pStyle w:val="HTMLPreformatted"/>
              <w:shd w:val="clear" w:color="auto" w:fill="F8F9FA"/>
              <w:spacing w:line="276" w:lineRule="auto"/>
              <w:jc w:val="both"/>
              <w:rPr>
                <w:rFonts w:ascii="Arial" w:hAnsi="Arial" w:cs="Arial"/>
                <w:color w:val="202124"/>
                <w:sz w:val="22"/>
                <w:szCs w:val="22"/>
              </w:rPr>
            </w:pPr>
            <w:r w:rsidRPr="001D50E3">
              <w:rPr>
                <w:rStyle w:val="y2iqfc"/>
                <w:rFonts w:ascii="Arial" w:hAnsi="Arial" w:cs="Arial"/>
                <w:color w:val="202124"/>
                <w:sz w:val="22"/>
                <w:szCs w:val="22"/>
                <w:lang w:val="sq-AL"/>
              </w:rPr>
              <w:t>Veprimet e parashikuara kontribuojnë në arritjen e çmimeve të gjelbra të EUSR-së dhe EUSR-së, veçanërisht në zonat prioritare 5 "Rreziqet mjedisore", 6 "Bio-Universiteti, Peizazhet, Cilësia e Ajrit dhe Tokës" (EUSRD) dhe Shtylla 3 "Cilësia e Mjedisit" ( EUSJJR).</w:t>
            </w:r>
          </w:p>
          <w:p w:rsidR="00FF2EC0" w:rsidRPr="001D50E3" w:rsidRDefault="00FF2EC0" w:rsidP="00754C2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Times New Roman" w:hAnsi="Arial" w:cs="Arial"/>
                <w:color w:val="202124"/>
                <w:lang w:eastAsia="mk-MK"/>
              </w:rPr>
            </w:pPr>
          </w:p>
          <w:p w:rsidR="00FF2EC0" w:rsidRPr="001D50E3" w:rsidRDefault="00FF2EC0" w:rsidP="00754C28">
            <w:pPr>
              <w:spacing w:line="276" w:lineRule="auto"/>
              <w:jc w:val="both"/>
              <w:rPr>
                <w:rFonts w:ascii="Arial" w:hAnsi="Arial" w:cs="Arial"/>
              </w:rPr>
            </w:pPr>
          </w:p>
        </w:tc>
      </w:tr>
    </w:tbl>
    <w:p w:rsidR="00FF2EC0" w:rsidRPr="00754C28" w:rsidRDefault="00FF2EC0" w:rsidP="00FF2EC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Arial" w:eastAsia="Times New Roman" w:hAnsi="Arial" w:cs="Arial"/>
          <w:color w:val="202124"/>
          <w:lang w:val="mk-MK" w:eastAsia="mk-MK"/>
        </w:rPr>
      </w:pPr>
    </w:p>
    <w:p w:rsidR="00FF2EC0" w:rsidRPr="001D50E3" w:rsidRDefault="00FF2EC0" w:rsidP="00754C2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Arial" w:eastAsia="Times New Roman" w:hAnsi="Arial" w:cs="Arial"/>
          <w:b/>
          <w:color w:val="202124"/>
          <w:lang w:eastAsia="mk-MK"/>
        </w:rPr>
      </w:pPr>
      <w:r w:rsidRPr="001D50E3">
        <w:rPr>
          <w:rFonts w:ascii="Arial" w:eastAsia="Times New Roman" w:hAnsi="Arial" w:cs="Arial"/>
          <w:b/>
          <w:color w:val="202124"/>
          <w:lang w:eastAsia="mk-MK"/>
        </w:rPr>
        <w:t>2.1.3. Treguesit</w:t>
      </w:r>
    </w:p>
    <w:p w:rsidR="00FF2EC0" w:rsidRPr="001D50E3" w:rsidRDefault="00FF2EC0" w:rsidP="00754C2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Arial" w:eastAsia="Times New Roman" w:hAnsi="Arial" w:cs="Arial"/>
          <w:b/>
          <w:color w:val="202124"/>
          <w:lang w:eastAsia="mk-MK"/>
        </w:rPr>
      </w:pPr>
      <w:r w:rsidRPr="001D50E3">
        <w:rPr>
          <w:rFonts w:ascii="Arial" w:eastAsia="Times New Roman" w:hAnsi="Arial" w:cs="Arial"/>
          <w:b/>
          <w:color w:val="202124"/>
          <w:lang w:eastAsia="mk-MK"/>
        </w:rPr>
        <w:t>Referenca: Neni 17 (3) (e) (ii), Neni (c) (iii) 17 (9)</w:t>
      </w:r>
    </w:p>
    <w:p w:rsidR="00FF2EC0" w:rsidRDefault="00FF2EC0" w:rsidP="00754C2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Arial" w:eastAsia="Times New Roman" w:hAnsi="Arial" w:cs="Arial"/>
          <w:b/>
          <w:color w:val="202124"/>
          <w:lang w:val="mk-MK" w:eastAsia="mk-MK"/>
        </w:rPr>
      </w:pPr>
      <w:r w:rsidRPr="001D50E3">
        <w:rPr>
          <w:rFonts w:ascii="Arial" w:eastAsia="Times New Roman" w:hAnsi="Arial" w:cs="Arial"/>
          <w:b/>
          <w:color w:val="202124"/>
          <w:lang w:eastAsia="mk-MK"/>
        </w:rPr>
        <w:t>Tabela 2: Treguesit e prodhimit</w:t>
      </w:r>
    </w:p>
    <w:p w:rsidR="00754C28" w:rsidRPr="00754C28" w:rsidRDefault="00754C28" w:rsidP="00754C2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Arial" w:eastAsia="Times New Roman" w:hAnsi="Arial" w:cs="Arial"/>
          <w:b/>
          <w:color w:val="202124"/>
          <w:lang w:val="mk-MK" w:eastAsia="mk-MK"/>
        </w:rPr>
      </w:pPr>
    </w:p>
    <w:tbl>
      <w:tblPr>
        <w:tblW w:w="53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68"/>
        <w:gridCol w:w="1707"/>
        <w:gridCol w:w="956"/>
        <w:gridCol w:w="1484"/>
        <w:gridCol w:w="1476"/>
        <w:gridCol w:w="1845"/>
        <w:gridCol w:w="1383"/>
      </w:tblGrid>
      <w:tr w:rsidR="00FF2EC0" w:rsidRPr="001D50E3" w:rsidTr="00754C28">
        <w:trPr>
          <w:trHeight w:val="836"/>
        </w:trPr>
        <w:tc>
          <w:tcPr>
            <w:tcW w:w="712" w:type="pct"/>
          </w:tcPr>
          <w:p w:rsidR="00FF2EC0" w:rsidRPr="001D50E3" w:rsidRDefault="00FF2EC0" w:rsidP="00754C28">
            <w:pPr>
              <w:spacing w:before="120" w:after="120" w:line="276" w:lineRule="auto"/>
              <w:jc w:val="both"/>
              <w:rPr>
                <w:rFonts w:ascii="Arial" w:eastAsia="Calibri" w:hAnsi="Arial" w:cs="Arial"/>
                <w:b/>
                <w:noProof/>
                <w:lang w:val="en-US"/>
              </w:rPr>
            </w:pPr>
            <w:r w:rsidRPr="001D50E3">
              <w:rPr>
                <w:rFonts w:ascii="Arial" w:eastAsia="Calibri" w:hAnsi="Arial" w:cs="Arial"/>
                <w:b/>
                <w:noProof/>
              </w:rPr>
              <w:t>Prioritetet</w:t>
            </w:r>
          </w:p>
        </w:tc>
        <w:tc>
          <w:tcPr>
            <w:tcW w:w="827" w:type="pct"/>
          </w:tcPr>
          <w:p w:rsidR="00FF2EC0" w:rsidRPr="001D50E3" w:rsidRDefault="00FF2EC0" w:rsidP="00754C28">
            <w:pPr>
              <w:spacing w:before="120" w:after="120" w:line="276" w:lineRule="auto"/>
              <w:jc w:val="both"/>
              <w:rPr>
                <w:rFonts w:ascii="Arial" w:eastAsia="Calibri" w:hAnsi="Arial" w:cs="Arial"/>
                <w:b/>
                <w:noProof/>
                <w:lang w:val="en-US"/>
              </w:rPr>
            </w:pPr>
            <w:r w:rsidRPr="001D50E3">
              <w:rPr>
                <w:rFonts w:ascii="Arial" w:eastAsia="Calibri" w:hAnsi="Arial" w:cs="Arial"/>
                <w:b/>
                <w:noProof/>
                <w:lang w:val="en-US"/>
              </w:rPr>
              <w:t>Qellim specifik</w:t>
            </w:r>
          </w:p>
        </w:tc>
        <w:tc>
          <w:tcPr>
            <w:tcW w:w="463" w:type="pct"/>
          </w:tcPr>
          <w:p w:rsidR="00FF2EC0" w:rsidRPr="001D50E3" w:rsidRDefault="00FF2EC0" w:rsidP="00754C28">
            <w:pPr>
              <w:spacing w:before="120" w:after="120" w:line="276" w:lineRule="auto"/>
              <w:jc w:val="both"/>
              <w:rPr>
                <w:rFonts w:ascii="Arial" w:eastAsia="Calibri" w:hAnsi="Arial" w:cs="Arial"/>
                <w:b/>
                <w:noProof/>
              </w:rPr>
            </w:pPr>
            <w:r w:rsidRPr="001D50E3">
              <w:rPr>
                <w:rFonts w:ascii="Arial" w:eastAsia="Calibri" w:hAnsi="Arial" w:cs="Arial"/>
                <w:b/>
                <w:noProof/>
              </w:rPr>
              <w:t>Numri i identifikimit (ID) [5]</w:t>
            </w:r>
          </w:p>
        </w:tc>
        <w:tc>
          <w:tcPr>
            <w:tcW w:w="719" w:type="pct"/>
            <w:shd w:val="clear" w:color="auto" w:fill="auto"/>
          </w:tcPr>
          <w:p w:rsidR="00FF2EC0" w:rsidRPr="001D50E3" w:rsidRDefault="00FF2EC0" w:rsidP="00754C28">
            <w:pPr>
              <w:spacing w:before="120" w:after="120" w:line="276" w:lineRule="auto"/>
              <w:jc w:val="both"/>
              <w:rPr>
                <w:rFonts w:ascii="Arial" w:eastAsia="Calibri" w:hAnsi="Arial" w:cs="Arial"/>
                <w:b/>
                <w:noProof/>
              </w:rPr>
            </w:pPr>
            <w:r w:rsidRPr="001D50E3">
              <w:rPr>
                <w:rFonts w:ascii="Arial" w:eastAsia="Calibri" w:hAnsi="Arial" w:cs="Arial"/>
                <w:b/>
                <w:noProof/>
              </w:rPr>
              <w:t>Indikatoret</w:t>
            </w:r>
          </w:p>
        </w:tc>
        <w:tc>
          <w:tcPr>
            <w:tcW w:w="715" w:type="pct"/>
          </w:tcPr>
          <w:p w:rsidR="00FF2EC0" w:rsidRPr="001D50E3" w:rsidRDefault="00FF2EC0" w:rsidP="00754C28">
            <w:pPr>
              <w:spacing w:before="120" w:after="120" w:line="276" w:lineRule="auto"/>
              <w:jc w:val="both"/>
              <w:rPr>
                <w:rFonts w:ascii="Arial" w:eastAsia="Calibri" w:hAnsi="Arial" w:cs="Arial"/>
                <w:b/>
                <w:noProof/>
              </w:rPr>
            </w:pPr>
            <w:r w:rsidRPr="001D50E3">
              <w:rPr>
                <w:rFonts w:ascii="Arial" w:eastAsia="Calibri" w:hAnsi="Arial" w:cs="Arial"/>
                <w:b/>
                <w:noProof/>
              </w:rPr>
              <w:t>Njesia matese</w:t>
            </w:r>
          </w:p>
          <w:p w:rsidR="00FF2EC0" w:rsidRPr="001D50E3" w:rsidRDefault="00FF2EC0" w:rsidP="00754C28">
            <w:pPr>
              <w:spacing w:before="120" w:after="120" w:line="276" w:lineRule="auto"/>
              <w:jc w:val="both"/>
              <w:rPr>
                <w:rFonts w:ascii="Arial" w:eastAsia="Calibri" w:hAnsi="Arial" w:cs="Arial"/>
                <w:b/>
                <w:noProof/>
              </w:rPr>
            </w:pPr>
            <w:r w:rsidRPr="001D50E3">
              <w:rPr>
                <w:rFonts w:ascii="Arial" w:eastAsia="Calibri" w:hAnsi="Arial" w:cs="Arial"/>
                <w:b/>
                <w:noProof/>
              </w:rPr>
              <w:t>[255]</w:t>
            </w:r>
          </w:p>
        </w:tc>
        <w:tc>
          <w:tcPr>
            <w:tcW w:w="894" w:type="pct"/>
            <w:shd w:val="clear" w:color="auto" w:fill="auto"/>
          </w:tcPr>
          <w:p w:rsidR="00FF2EC0" w:rsidRPr="001D50E3" w:rsidRDefault="00FF2EC0" w:rsidP="00754C28">
            <w:pPr>
              <w:spacing w:before="120" w:after="120" w:line="276" w:lineRule="auto"/>
              <w:jc w:val="both"/>
              <w:rPr>
                <w:rFonts w:ascii="Arial" w:eastAsia="Calibri" w:hAnsi="Arial" w:cs="Arial"/>
                <w:b/>
                <w:noProof/>
              </w:rPr>
            </w:pPr>
            <w:r w:rsidRPr="001D50E3">
              <w:rPr>
                <w:rFonts w:ascii="Arial" w:eastAsia="Calibri" w:hAnsi="Arial" w:cs="Arial"/>
                <w:b/>
                <w:noProof/>
              </w:rPr>
              <w:t>Qellimi mesatar (2024)</w:t>
            </w:r>
          </w:p>
          <w:p w:rsidR="00FF2EC0" w:rsidRPr="001D50E3" w:rsidRDefault="00FF2EC0" w:rsidP="00754C28">
            <w:pPr>
              <w:spacing w:before="120" w:after="120" w:line="276" w:lineRule="auto"/>
              <w:jc w:val="both"/>
              <w:rPr>
                <w:rFonts w:ascii="Arial" w:eastAsia="Calibri" w:hAnsi="Arial" w:cs="Arial"/>
                <w:b/>
                <w:noProof/>
              </w:rPr>
            </w:pPr>
            <w:r w:rsidRPr="001D50E3">
              <w:rPr>
                <w:rFonts w:ascii="Arial" w:eastAsia="Calibri" w:hAnsi="Arial" w:cs="Arial"/>
                <w:b/>
                <w:noProof/>
              </w:rPr>
              <w:t>[200]</w:t>
            </w:r>
          </w:p>
        </w:tc>
        <w:tc>
          <w:tcPr>
            <w:tcW w:w="670" w:type="pct"/>
            <w:shd w:val="clear" w:color="auto" w:fill="auto"/>
          </w:tcPr>
          <w:p w:rsidR="00FF2EC0" w:rsidRPr="001D50E3" w:rsidRDefault="00FF2EC0" w:rsidP="00754C28">
            <w:pPr>
              <w:spacing w:before="120" w:after="120" w:line="276" w:lineRule="auto"/>
              <w:jc w:val="both"/>
              <w:rPr>
                <w:rFonts w:ascii="Arial" w:eastAsia="Calibri" w:hAnsi="Arial" w:cs="Arial"/>
                <w:b/>
                <w:noProof/>
              </w:rPr>
            </w:pPr>
            <w:r w:rsidRPr="001D50E3">
              <w:rPr>
                <w:rFonts w:ascii="Arial" w:eastAsia="Calibri" w:hAnsi="Arial" w:cs="Arial"/>
                <w:b/>
                <w:noProof/>
              </w:rPr>
              <w:t>Qellimi perfundimtar (2029)</w:t>
            </w:r>
          </w:p>
          <w:p w:rsidR="00FF2EC0" w:rsidRPr="001D50E3" w:rsidRDefault="00FF2EC0" w:rsidP="00754C28">
            <w:pPr>
              <w:spacing w:before="120" w:after="120" w:line="276" w:lineRule="auto"/>
              <w:jc w:val="both"/>
              <w:rPr>
                <w:rFonts w:ascii="Arial" w:eastAsia="Calibri" w:hAnsi="Arial" w:cs="Arial"/>
                <w:b/>
                <w:noProof/>
              </w:rPr>
            </w:pPr>
            <w:r w:rsidRPr="001D50E3">
              <w:rPr>
                <w:rFonts w:ascii="Arial" w:eastAsia="Calibri" w:hAnsi="Arial" w:cs="Arial"/>
                <w:b/>
                <w:noProof/>
              </w:rPr>
              <w:t>[200]</w:t>
            </w:r>
          </w:p>
        </w:tc>
      </w:tr>
      <w:tr w:rsidR="00FF2EC0" w:rsidRPr="001D50E3" w:rsidTr="00754C28">
        <w:trPr>
          <w:trHeight w:val="579"/>
        </w:trPr>
        <w:tc>
          <w:tcPr>
            <w:tcW w:w="712" w:type="pct"/>
          </w:tcPr>
          <w:p w:rsidR="00FF2EC0" w:rsidRPr="001D50E3" w:rsidRDefault="00FF2EC0" w:rsidP="00754C28">
            <w:pPr>
              <w:spacing w:before="120" w:after="120" w:line="276" w:lineRule="auto"/>
              <w:jc w:val="both"/>
              <w:rPr>
                <w:rFonts w:ascii="Arial" w:eastAsia="Times New Roman" w:hAnsi="Arial" w:cs="Arial"/>
                <w:i/>
                <w:noProof/>
                <w:color w:val="000000"/>
                <w:lang w:eastAsia="en-GB"/>
              </w:rPr>
            </w:pPr>
            <w:r w:rsidRPr="001D50E3">
              <w:rPr>
                <w:rFonts w:ascii="Arial" w:eastAsia="Times New Roman" w:hAnsi="Arial" w:cs="Arial"/>
                <w:i/>
                <w:noProof/>
                <w:color w:val="000000"/>
                <w:lang w:eastAsia="en-GB"/>
              </w:rPr>
              <w:lastRenderedPageBreak/>
              <w:t>Rajoni kufitar më i gjelbër</w:t>
            </w:r>
          </w:p>
        </w:tc>
        <w:tc>
          <w:tcPr>
            <w:tcW w:w="827" w:type="pct"/>
          </w:tcPr>
          <w:p w:rsidR="00FF2EC0" w:rsidRPr="001D50E3" w:rsidRDefault="00FF2EC0" w:rsidP="00754C28">
            <w:pPr>
              <w:spacing w:before="120" w:after="120" w:line="276" w:lineRule="auto"/>
              <w:jc w:val="both"/>
              <w:rPr>
                <w:rFonts w:ascii="Arial" w:eastAsia="Times New Roman" w:hAnsi="Arial" w:cs="Arial"/>
                <w:i/>
                <w:noProof/>
                <w:color w:val="000000"/>
                <w:lang w:val="en-US" w:eastAsia="en-GB"/>
              </w:rPr>
            </w:pPr>
            <w:r w:rsidRPr="001D50E3">
              <w:rPr>
                <w:rFonts w:ascii="Arial" w:eastAsia="Times New Roman" w:hAnsi="Arial" w:cs="Arial"/>
                <w:i/>
                <w:noProof/>
                <w:color w:val="000000"/>
                <w:lang w:eastAsia="en-GB"/>
              </w:rPr>
              <w:t>1.1. Përmirësimi i mbrojtjes dhe ruajtjes së natyrës, biodiversitetit dhe infrastrukturës së gjelbër, përfshirë në zonat urbane, dhe reduktimi i të gjitha formave të ndotjes.</w:t>
            </w:r>
          </w:p>
        </w:tc>
        <w:tc>
          <w:tcPr>
            <w:tcW w:w="463" w:type="pct"/>
          </w:tcPr>
          <w:p w:rsidR="00FF2EC0" w:rsidRPr="001D50E3" w:rsidRDefault="00FF2EC0" w:rsidP="00754C28">
            <w:pPr>
              <w:spacing w:before="120" w:after="120" w:line="276" w:lineRule="auto"/>
              <w:jc w:val="both"/>
              <w:rPr>
                <w:rFonts w:ascii="Arial" w:eastAsia="Times New Roman" w:hAnsi="Arial" w:cs="Arial"/>
                <w:i/>
                <w:noProof/>
                <w:color w:val="000000"/>
                <w:lang w:eastAsia="en-GB"/>
              </w:rPr>
            </w:pPr>
            <w:r w:rsidRPr="001D50E3">
              <w:rPr>
                <w:rFonts w:ascii="Arial" w:eastAsia="Times New Roman" w:hAnsi="Arial" w:cs="Arial"/>
                <w:i/>
                <w:noProof/>
                <w:color w:val="000000"/>
                <w:lang w:val="en-US" w:eastAsia="en-GB"/>
              </w:rPr>
              <w:t>RCO84</w:t>
            </w:r>
          </w:p>
        </w:tc>
        <w:tc>
          <w:tcPr>
            <w:tcW w:w="719" w:type="pct"/>
            <w:shd w:val="clear" w:color="auto" w:fill="auto"/>
          </w:tcPr>
          <w:p w:rsidR="00FF2EC0" w:rsidRPr="001D50E3" w:rsidRDefault="00FF2EC0" w:rsidP="00754C28">
            <w:pPr>
              <w:pStyle w:val="HTMLPreformatted"/>
              <w:shd w:val="clear" w:color="auto" w:fill="F8F9FA"/>
              <w:spacing w:line="276" w:lineRule="auto"/>
              <w:rPr>
                <w:rFonts w:ascii="Arial" w:hAnsi="Arial" w:cs="Arial"/>
                <w:color w:val="202124"/>
                <w:sz w:val="22"/>
                <w:szCs w:val="22"/>
              </w:rPr>
            </w:pPr>
            <w:r w:rsidRPr="001D50E3">
              <w:rPr>
                <w:rStyle w:val="y2iqfc"/>
                <w:rFonts w:ascii="Arial" w:hAnsi="Arial" w:cs="Arial"/>
                <w:color w:val="202124"/>
                <w:sz w:val="22"/>
                <w:szCs w:val="22"/>
                <w:lang w:val="sq-AL"/>
              </w:rPr>
              <w:t>Veprimet pilot të zhvilluara dhe të zbatuara së bashku në projekte</w:t>
            </w:r>
          </w:p>
          <w:p w:rsidR="00FF2EC0" w:rsidRPr="001D50E3" w:rsidRDefault="00FF2EC0" w:rsidP="00754C28">
            <w:pPr>
              <w:spacing w:before="120" w:after="120" w:line="276" w:lineRule="auto"/>
              <w:jc w:val="both"/>
              <w:rPr>
                <w:rFonts w:ascii="Arial" w:eastAsia="Times New Roman" w:hAnsi="Arial" w:cs="Arial"/>
                <w:i/>
                <w:noProof/>
                <w:color w:val="000000"/>
                <w:lang w:eastAsia="en-GB"/>
              </w:rPr>
            </w:pPr>
          </w:p>
        </w:tc>
        <w:tc>
          <w:tcPr>
            <w:tcW w:w="715" w:type="pct"/>
          </w:tcPr>
          <w:p w:rsidR="00FF2EC0" w:rsidRPr="001D50E3" w:rsidRDefault="00FF2EC0" w:rsidP="00754C28">
            <w:pPr>
              <w:spacing w:before="120" w:after="120" w:line="276" w:lineRule="auto"/>
              <w:jc w:val="both"/>
              <w:rPr>
                <w:rFonts w:ascii="Arial" w:eastAsia="Calibri" w:hAnsi="Arial" w:cs="Arial"/>
                <w:i/>
                <w:noProof/>
              </w:rPr>
            </w:pPr>
            <w:r w:rsidRPr="001D50E3">
              <w:rPr>
                <w:rFonts w:ascii="Arial" w:eastAsia="Calibri" w:hAnsi="Arial" w:cs="Arial"/>
                <w:i/>
                <w:noProof/>
              </w:rPr>
              <w:t>Veprimet pilot</w:t>
            </w:r>
          </w:p>
        </w:tc>
        <w:tc>
          <w:tcPr>
            <w:tcW w:w="894" w:type="pct"/>
            <w:shd w:val="clear" w:color="auto" w:fill="auto"/>
          </w:tcPr>
          <w:p w:rsidR="00FF2EC0" w:rsidRPr="001D50E3" w:rsidRDefault="00FF2EC0" w:rsidP="00754C28">
            <w:pPr>
              <w:spacing w:before="120" w:after="120" w:line="276" w:lineRule="auto"/>
              <w:jc w:val="both"/>
              <w:rPr>
                <w:rFonts w:ascii="Arial" w:eastAsia="Calibri" w:hAnsi="Arial" w:cs="Arial"/>
                <w:i/>
                <w:noProof/>
              </w:rPr>
            </w:pPr>
            <w:r w:rsidRPr="001D50E3">
              <w:rPr>
                <w:rFonts w:ascii="Arial" w:eastAsia="Calibri" w:hAnsi="Arial" w:cs="Arial"/>
                <w:i/>
                <w:noProof/>
              </w:rPr>
              <w:t>3</w:t>
            </w:r>
          </w:p>
        </w:tc>
        <w:tc>
          <w:tcPr>
            <w:tcW w:w="670" w:type="pct"/>
            <w:shd w:val="clear" w:color="auto" w:fill="auto"/>
          </w:tcPr>
          <w:p w:rsidR="00FF2EC0" w:rsidRPr="001D50E3" w:rsidRDefault="00FF2EC0" w:rsidP="00754C28">
            <w:pPr>
              <w:spacing w:before="120" w:after="120" w:line="276" w:lineRule="auto"/>
              <w:jc w:val="both"/>
              <w:rPr>
                <w:rFonts w:ascii="Arial" w:eastAsia="Calibri" w:hAnsi="Arial" w:cs="Arial"/>
                <w:i/>
                <w:noProof/>
              </w:rPr>
            </w:pPr>
            <w:r w:rsidRPr="001D50E3">
              <w:rPr>
                <w:rFonts w:ascii="Arial" w:eastAsia="Calibri" w:hAnsi="Arial" w:cs="Arial"/>
                <w:i/>
                <w:noProof/>
              </w:rPr>
              <w:t>8</w:t>
            </w:r>
          </w:p>
        </w:tc>
      </w:tr>
      <w:tr w:rsidR="00FF2EC0" w:rsidRPr="001D50E3" w:rsidTr="00754C28">
        <w:trPr>
          <w:trHeight w:val="579"/>
        </w:trPr>
        <w:tc>
          <w:tcPr>
            <w:tcW w:w="712" w:type="pct"/>
          </w:tcPr>
          <w:p w:rsidR="00FF2EC0" w:rsidRPr="001D50E3" w:rsidRDefault="00FF2EC0" w:rsidP="00754C28">
            <w:pPr>
              <w:pStyle w:val="HTMLPreformatted"/>
              <w:shd w:val="clear" w:color="auto" w:fill="F8F9FA"/>
              <w:spacing w:line="276" w:lineRule="auto"/>
              <w:rPr>
                <w:rFonts w:ascii="Arial" w:hAnsi="Arial" w:cs="Arial"/>
                <w:color w:val="202124"/>
                <w:sz w:val="22"/>
                <w:szCs w:val="22"/>
              </w:rPr>
            </w:pPr>
            <w:r w:rsidRPr="001D50E3">
              <w:rPr>
                <w:rStyle w:val="y2iqfc"/>
                <w:rFonts w:ascii="Arial" w:hAnsi="Arial" w:cs="Arial"/>
                <w:color w:val="202124"/>
                <w:sz w:val="22"/>
                <w:szCs w:val="22"/>
                <w:lang w:val="sq-AL"/>
              </w:rPr>
              <w:t>Rajoni kufitar më i gjelbër</w:t>
            </w:r>
          </w:p>
          <w:p w:rsidR="00FF2EC0" w:rsidRPr="001D50E3" w:rsidRDefault="00FF2EC0" w:rsidP="00754C28">
            <w:pPr>
              <w:spacing w:before="120" w:after="120" w:line="276" w:lineRule="auto"/>
              <w:jc w:val="both"/>
              <w:rPr>
                <w:rFonts w:ascii="Arial" w:eastAsia="Times New Roman" w:hAnsi="Arial" w:cs="Arial"/>
                <w:i/>
                <w:noProof/>
                <w:color w:val="000000"/>
                <w:lang w:eastAsia="en-GB"/>
              </w:rPr>
            </w:pPr>
          </w:p>
        </w:tc>
        <w:tc>
          <w:tcPr>
            <w:tcW w:w="827" w:type="pct"/>
          </w:tcPr>
          <w:p w:rsidR="00FF2EC0" w:rsidRPr="001D50E3" w:rsidRDefault="00FF2EC0" w:rsidP="00754C28">
            <w:pPr>
              <w:pStyle w:val="HTMLPreformatted"/>
              <w:shd w:val="clear" w:color="auto" w:fill="F8F9FA"/>
              <w:spacing w:line="276" w:lineRule="auto"/>
              <w:rPr>
                <w:rFonts w:ascii="Arial" w:hAnsi="Arial" w:cs="Arial"/>
                <w:i/>
                <w:color w:val="202124"/>
                <w:sz w:val="22"/>
                <w:szCs w:val="22"/>
              </w:rPr>
            </w:pPr>
            <w:r w:rsidRPr="001D50E3">
              <w:rPr>
                <w:rStyle w:val="y2iqfc"/>
                <w:rFonts w:ascii="Arial" w:hAnsi="Arial" w:cs="Arial"/>
                <w:i/>
                <w:color w:val="202124"/>
                <w:sz w:val="22"/>
                <w:szCs w:val="22"/>
                <w:lang w:val="sq-AL"/>
              </w:rPr>
              <w:t>1.1. Përmirësimi i mbrojtjes dhe ruajtjes së natyrës, biodiversitetit dhe infrastrukturës së gjelbër, përfshirë në zonat urbane, dhe reduktimi</w:t>
            </w:r>
            <w:r w:rsidRPr="001D50E3">
              <w:rPr>
                <w:rStyle w:val="y2iqfc"/>
                <w:rFonts w:ascii="Arial" w:hAnsi="Arial" w:cs="Arial"/>
                <w:i/>
                <w:color w:val="202124"/>
                <w:sz w:val="22"/>
                <w:szCs w:val="22"/>
              </w:rPr>
              <w:t xml:space="preserve"> i të gjitha formave të ndotjes.</w:t>
            </w:r>
          </w:p>
          <w:p w:rsidR="00FF2EC0" w:rsidRPr="001D50E3" w:rsidRDefault="00FF2EC0" w:rsidP="00754C28">
            <w:pPr>
              <w:spacing w:before="120" w:after="120" w:line="276" w:lineRule="auto"/>
              <w:jc w:val="both"/>
              <w:rPr>
                <w:rFonts w:ascii="Arial" w:eastAsia="Times New Roman" w:hAnsi="Arial" w:cs="Arial"/>
                <w:i/>
                <w:noProof/>
                <w:color w:val="000000"/>
                <w:lang w:val="en-US" w:eastAsia="en-GB"/>
              </w:rPr>
            </w:pPr>
            <w:r w:rsidRPr="001D50E3">
              <w:rPr>
                <w:rFonts w:ascii="Arial" w:eastAsia="Times New Roman" w:hAnsi="Arial" w:cs="Arial"/>
                <w:i/>
                <w:noProof/>
                <w:color w:val="000000"/>
                <w:lang w:eastAsia="en-GB"/>
              </w:rPr>
              <w:t xml:space="preserve"> </w:t>
            </w:r>
          </w:p>
        </w:tc>
        <w:tc>
          <w:tcPr>
            <w:tcW w:w="463" w:type="pct"/>
          </w:tcPr>
          <w:p w:rsidR="00FF2EC0" w:rsidRPr="001D50E3" w:rsidRDefault="00FF2EC0" w:rsidP="00754C28">
            <w:pPr>
              <w:spacing w:before="120" w:after="120" w:line="276" w:lineRule="auto"/>
              <w:jc w:val="both"/>
              <w:rPr>
                <w:rFonts w:ascii="Arial" w:eastAsia="Times New Roman" w:hAnsi="Arial" w:cs="Arial"/>
                <w:i/>
                <w:noProof/>
                <w:color w:val="000000"/>
                <w:lang w:eastAsia="en-GB"/>
              </w:rPr>
            </w:pPr>
            <w:r w:rsidRPr="001D50E3">
              <w:rPr>
                <w:rFonts w:ascii="Arial" w:eastAsia="Times New Roman" w:hAnsi="Arial" w:cs="Arial"/>
                <w:i/>
                <w:noProof/>
                <w:color w:val="000000"/>
                <w:lang w:eastAsia="en-GB"/>
              </w:rPr>
              <w:t>RCO116</w:t>
            </w:r>
          </w:p>
        </w:tc>
        <w:tc>
          <w:tcPr>
            <w:tcW w:w="719" w:type="pct"/>
            <w:shd w:val="clear" w:color="auto" w:fill="auto"/>
          </w:tcPr>
          <w:p w:rsidR="00FF2EC0" w:rsidRPr="001D50E3" w:rsidRDefault="00FF2EC0" w:rsidP="00754C28">
            <w:pPr>
              <w:pStyle w:val="HTMLPreformatted"/>
              <w:shd w:val="clear" w:color="auto" w:fill="F8F9FA"/>
              <w:spacing w:line="276" w:lineRule="auto"/>
              <w:rPr>
                <w:rFonts w:ascii="Arial" w:hAnsi="Arial" w:cs="Arial"/>
                <w:color w:val="202124"/>
                <w:sz w:val="22"/>
                <w:szCs w:val="22"/>
              </w:rPr>
            </w:pPr>
            <w:r w:rsidRPr="001D50E3">
              <w:rPr>
                <w:rStyle w:val="y2iqfc"/>
                <w:rFonts w:ascii="Arial" w:hAnsi="Arial" w:cs="Arial"/>
                <w:color w:val="202124"/>
                <w:sz w:val="22"/>
                <w:szCs w:val="22"/>
                <w:lang w:val="sq-AL"/>
              </w:rPr>
              <w:t>Zgjidhje të zhvilluara së bashku</w:t>
            </w:r>
          </w:p>
          <w:p w:rsidR="00FF2EC0" w:rsidRPr="001D50E3" w:rsidRDefault="00FF2EC0" w:rsidP="00754C28">
            <w:pPr>
              <w:spacing w:before="120" w:after="120" w:line="276" w:lineRule="auto"/>
              <w:jc w:val="both"/>
              <w:rPr>
                <w:rFonts w:ascii="Arial" w:eastAsia="Times New Roman" w:hAnsi="Arial" w:cs="Arial"/>
                <w:i/>
                <w:noProof/>
                <w:color w:val="000000"/>
                <w:lang w:eastAsia="en-GB"/>
              </w:rPr>
            </w:pPr>
          </w:p>
        </w:tc>
        <w:tc>
          <w:tcPr>
            <w:tcW w:w="715" w:type="pct"/>
          </w:tcPr>
          <w:p w:rsidR="00FF2EC0" w:rsidRPr="001D50E3" w:rsidRDefault="00FF2EC0" w:rsidP="00754C28">
            <w:pPr>
              <w:spacing w:before="120" w:after="120" w:line="276" w:lineRule="auto"/>
              <w:jc w:val="both"/>
              <w:rPr>
                <w:rFonts w:ascii="Arial" w:eastAsia="Calibri" w:hAnsi="Arial" w:cs="Arial"/>
                <w:i/>
                <w:noProof/>
                <w:lang w:val="en-US"/>
              </w:rPr>
            </w:pPr>
            <w:r w:rsidRPr="001D50E3">
              <w:rPr>
                <w:rFonts w:ascii="Arial" w:eastAsia="Calibri" w:hAnsi="Arial" w:cs="Arial"/>
                <w:i/>
                <w:noProof/>
              </w:rPr>
              <w:t>Zgjedhje</w:t>
            </w:r>
          </w:p>
        </w:tc>
        <w:tc>
          <w:tcPr>
            <w:tcW w:w="894" w:type="pct"/>
            <w:shd w:val="clear" w:color="auto" w:fill="auto"/>
          </w:tcPr>
          <w:p w:rsidR="00FF2EC0" w:rsidRPr="001D50E3" w:rsidRDefault="00FF2EC0" w:rsidP="00754C28">
            <w:pPr>
              <w:spacing w:before="120" w:after="120" w:line="276" w:lineRule="auto"/>
              <w:jc w:val="both"/>
              <w:rPr>
                <w:rFonts w:ascii="Arial" w:eastAsia="Calibri" w:hAnsi="Arial" w:cs="Arial"/>
                <w:i/>
                <w:noProof/>
              </w:rPr>
            </w:pPr>
            <w:r w:rsidRPr="001D50E3">
              <w:rPr>
                <w:rFonts w:ascii="Arial" w:eastAsia="Calibri" w:hAnsi="Arial" w:cs="Arial"/>
                <w:i/>
                <w:noProof/>
              </w:rPr>
              <w:t>3</w:t>
            </w:r>
          </w:p>
        </w:tc>
        <w:tc>
          <w:tcPr>
            <w:tcW w:w="670" w:type="pct"/>
            <w:shd w:val="clear" w:color="auto" w:fill="auto"/>
          </w:tcPr>
          <w:p w:rsidR="00FF2EC0" w:rsidRPr="001D50E3" w:rsidRDefault="00FF2EC0" w:rsidP="00754C28">
            <w:pPr>
              <w:spacing w:before="120" w:after="120" w:line="276" w:lineRule="auto"/>
              <w:jc w:val="both"/>
              <w:rPr>
                <w:rFonts w:ascii="Arial" w:eastAsia="Calibri" w:hAnsi="Arial" w:cs="Arial"/>
                <w:i/>
                <w:noProof/>
              </w:rPr>
            </w:pPr>
            <w:r w:rsidRPr="001D50E3">
              <w:rPr>
                <w:rFonts w:ascii="Arial" w:eastAsia="Calibri" w:hAnsi="Arial" w:cs="Arial"/>
                <w:i/>
                <w:noProof/>
              </w:rPr>
              <w:t>8</w:t>
            </w:r>
          </w:p>
        </w:tc>
      </w:tr>
    </w:tbl>
    <w:p w:rsidR="00FF2EC0" w:rsidRPr="00754C28" w:rsidRDefault="00FF2EC0" w:rsidP="00754C28">
      <w:pPr>
        <w:spacing w:before="240" w:after="240" w:line="240" w:lineRule="auto"/>
        <w:rPr>
          <w:rFonts w:ascii="Arial" w:eastAsia="Times New Roman" w:hAnsi="Arial" w:cs="Arial"/>
          <w:iCs/>
          <w:noProof/>
          <w:lang w:val="mk-MK" w:eastAsia="en-GB"/>
        </w:rPr>
      </w:pPr>
    </w:p>
    <w:p w:rsidR="00FF2EC0" w:rsidRPr="001D50E3" w:rsidRDefault="00FF2EC0" w:rsidP="00754C28">
      <w:pPr>
        <w:pStyle w:val="HTMLPreformatted"/>
        <w:shd w:val="clear" w:color="auto" w:fill="F8F9FA"/>
        <w:spacing w:line="276" w:lineRule="auto"/>
        <w:rPr>
          <w:rFonts w:ascii="Arial" w:hAnsi="Arial" w:cs="Arial"/>
          <w:b/>
          <w:color w:val="202124"/>
          <w:sz w:val="22"/>
          <w:szCs w:val="22"/>
        </w:rPr>
      </w:pPr>
      <w:r w:rsidRPr="001D50E3">
        <w:rPr>
          <w:rStyle w:val="y2iqfc"/>
          <w:rFonts w:ascii="Arial" w:hAnsi="Arial" w:cs="Arial"/>
          <w:b/>
          <w:color w:val="202124"/>
          <w:sz w:val="22"/>
          <w:szCs w:val="22"/>
          <w:lang w:val="sq-AL"/>
        </w:rPr>
        <w:t>Tabela 3: Treguesit e rezultateve</w:t>
      </w:r>
    </w:p>
    <w:p w:rsidR="00FF2EC0" w:rsidRPr="001D50E3" w:rsidRDefault="00FF2EC0" w:rsidP="00754C28">
      <w:pPr>
        <w:spacing w:before="240" w:after="240" w:line="276" w:lineRule="auto"/>
        <w:ind w:left="709" w:hanging="709"/>
        <w:rPr>
          <w:rFonts w:ascii="Arial" w:eastAsia="Times New Roman" w:hAnsi="Arial" w:cs="Arial"/>
          <w:b/>
          <w:iCs/>
          <w:noProof/>
          <w:lang w:eastAsia="en-GB"/>
        </w:rPr>
      </w:pPr>
    </w:p>
    <w:tbl>
      <w:tblPr>
        <w:tblW w:w="5759" w:type="pct"/>
        <w:tblInd w:w="-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3"/>
        <w:gridCol w:w="1568"/>
        <w:gridCol w:w="1105"/>
        <w:gridCol w:w="913"/>
        <w:gridCol w:w="1114"/>
        <w:gridCol w:w="1015"/>
        <w:gridCol w:w="737"/>
        <w:gridCol w:w="829"/>
        <w:gridCol w:w="1015"/>
        <w:gridCol w:w="1381"/>
      </w:tblGrid>
      <w:tr w:rsidR="00FF2EC0" w:rsidRPr="001D50E3" w:rsidTr="00754C28">
        <w:trPr>
          <w:trHeight w:val="947"/>
        </w:trPr>
        <w:tc>
          <w:tcPr>
            <w:tcW w:w="613" w:type="pct"/>
          </w:tcPr>
          <w:p w:rsidR="00FF2EC0" w:rsidRPr="001D50E3" w:rsidRDefault="00FF2EC0" w:rsidP="00754C28">
            <w:pPr>
              <w:spacing w:before="120" w:after="120" w:line="276" w:lineRule="auto"/>
              <w:jc w:val="both"/>
              <w:rPr>
                <w:rFonts w:ascii="Arial" w:eastAsia="Calibri" w:hAnsi="Arial" w:cs="Arial"/>
                <w:b/>
                <w:noProof/>
              </w:rPr>
            </w:pPr>
            <w:r w:rsidRPr="001D50E3">
              <w:rPr>
                <w:rFonts w:ascii="Arial" w:eastAsia="Calibri" w:hAnsi="Arial" w:cs="Arial"/>
                <w:b/>
                <w:noProof/>
              </w:rPr>
              <w:t>Prioritetet</w:t>
            </w:r>
          </w:p>
        </w:tc>
        <w:tc>
          <w:tcPr>
            <w:tcW w:w="711" w:type="pct"/>
          </w:tcPr>
          <w:p w:rsidR="00FF2EC0" w:rsidRPr="001D50E3" w:rsidRDefault="00FF2EC0" w:rsidP="00754C28">
            <w:pPr>
              <w:spacing w:before="120" w:after="120" w:line="276" w:lineRule="auto"/>
              <w:jc w:val="both"/>
              <w:rPr>
                <w:rFonts w:ascii="Arial" w:eastAsia="Calibri" w:hAnsi="Arial" w:cs="Arial"/>
                <w:b/>
                <w:noProof/>
              </w:rPr>
            </w:pPr>
            <w:r w:rsidRPr="001D50E3">
              <w:rPr>
                <w:rFonts w:ascii="Arial" w:eastAsia="Calibri" w:hAnsi="Arial" w:cs="Arial"/>
                <w:b/>
                <w:noProof/>
              </w:rPr>
              <w:t>Qellimi specifik</w:t>
            </w:r>
          </w:p>
        </w:tc>
        <w:tc>
          <w:tcPr>
            <w:tcW w:w="501" w:type="pct"/>
          </w:tcPr>
          <w:p w:rsidR="00FF2EC0" w:rsidRPr="001D50E3" w:rsidRDefault="00FF2EC0" w:rsidP="00754C28">
            <w:pPr>
              <w:spacing w:before="120" w:after="120" w:line="276" w:lineRule="auto"/>
              <w:jc w:val="both"/>
              <w:rPr>
                <w:rFonts w:ascii="Arial" w:eastAsia="Calibri" w:hAnsi="Arial" w:cs="Arial"/>
                <w:b/>
                <w:noProof/>
              </w:rPr>
            </w:pPr>
            <w:r w:rsidRPr="001D50E3">
              <w:rPr>
                <w:rFonts w:ascii="Arial" w:eastAsia="Calibri" w:hAnsi="Arial" w:cs="Arial"/>
                <w:b/>
                <w:noProof/>
              </w:rPr>
              <w:t>Numri i identifikimit ID</w:t>
            </w:r>
          </w:p>
        </w:tc>
        <w:tc>
          <w:tcPr>
            <w:tcW w:w="414" w:type="pct"/>
            <w:shd w:val="clear" w:color="auto" w:fill="auto"/>
          </w:tcPr>
          <w:p w:rsidR="00FF2EC0" w:rsidRPr="001D50E3" w:rsidRDefault="00FF2EC0" w:rsidP="00754C28">
            <w:pPr>
              <w:spacing w:before="120" w:after="120" w:line="276" w:lineRule="auto"/>
              <w:jc w:val="both"/>
              <w:rPr>
                <w:rFonts w:ascii="Arial" w:eastAsia="Calibri" w:hAnsi="Arial" w:cs="Arial"/>
                <w:b/>
                <w:noProof/>
              </w:rPr>
            </w:pPr>
            <w:r w:rsidRPr="001D50E3">
              <w:rPr>
                <w:rFonts w:ascii="Arial" w:eastAsia="Calibri" w:hAnsi="Arial" w:cs="Arial"/>
                <w:b/>
                <w:noProof/>
              </w:rPr>
              <w:t>Indikatori</w:t>
            </w:r>
          </w:p>
        </w:tc>
        <w:tc>
          <w:tcPr>
            <w:tcW w:w="505" w:type="pct"/>
          </w:tcPr>
          <w:p w:rsidR="00FF2EC0" w:rsidRPr="001D50E3" w:rsidRDefault="00FF2EC0" w:rsidP="00754C28">
            <w:pPr>
              <w:spacing w:before="120" w:after="120" w:line="276" w:lineRule="auto"/>
              <w:jc w:val="both"/>
              <w:rPr>
                <w:rFonts w:ascii="Arial" w:eastAsia="Calibri" w:hAnsi="Arial" w:cs="Arial"/>
                <w:b/>
                <w:noProof/>
              </w:rPr>
            </w:pPr>
            <w:r w:rsidRPr="001D50E3">
              <w:rPr>
                <w:rFonts w:ascii="Arial" w:eastAsia="Calibri" w:hAnsi="Arial" w:cs="Arial"/>
                <w:b/>
                <w:noProof/>
              </w:rPr>
              <w:t>Njesia matese</w:t>
            </w:r>
          </w:p>
        </w:tc>
        <w:tc>
          <w:tcPr>
            <w:tcW w:w="460" w:type="pct"/>
          </w:tcPr>
          <w:p w:rsidR="00FF2EC0" w:rsidRPr="001D50E3" w:rsidRDefault="00FF2EC0" w:rsidP="00754C28">
            <w:pPr>
              <w:spacing w:before="120" w:after="120" w:line="276" w:lineRule="auto"/>
              <w:jc w:val="both"/>
              <w:rPr>
                <w:rFonts w:ascii="Arial" w:eastAsia="Calibri" w:hAnsi="Arial" w:cs="Arial"/>
                <w:b/>
                <w:noProof/>
              </w:rPr>
            </w:pPr>
            <w:r w:rsidRPr="001D50E3">
              <w:rPr>
                <w:rFonts w:ascii="Arial" w:eastAsia="Calibri" w:hAnsi="Arial" w:cs="Arial"/>
                <w:b/>
                <w:noProof/>
              </w:rPr>
              <w:t>Baza</w:t>
            </w:r>
          </w:p>
        </w:tc>
        <w:tc>
          <w:tcPr>
            <w:tcW w:w="334" w:type="pct"/>
          </w:tcPr>
          <w:p w:rsidR="00FF2EC0" w:rsidRPr="001D50E3" w:rsidRDefault="00FF2EC0" w:rsidP="00754C28">
            <w:pPr>
              <w:spacing w:before="120" w:after="120" w:line="276" w:lineRule="auto"/>
              <w:jc w:val="both"/>
              <w:rPr>
                <w:rFonts w:ascii="Arial" w:eastAsia="Calibri" w:hAnsi="Arial" w:cs="Arial"/>
                <w:b/>
                <w:noProof/>
              </w:rPr>
            </w:pPr>
            <w:r w:rsidRPr="001D50E3">
              <w:rPr>
                <w:rFonts w:ascii="Arial" w:eastAsia="Calibri" w:hAnsi="Arial" w:cs="Arial"/>
                <w:b/>
                <w:noProof/>
              </w:rPr>
              <w:t>Viti referues</w:t>
            </w:r>
          </w:p>
        </w:tc>
        <w:tc>
          <w:tcPr>
            <w:tcW w:w="376" w:type="pct"/>
            <w:shd w:val="clear" w:color="auto" w:fill="auto"/>
          </w:tcPr>
          <w:p w:rsidR="00FF2EC0" w:rsidRPr="001D50E3" w:rsidRDefault="00FF2EC0" w:rsidP="00754C28">
            <w:pPr>
              <w:spacing w:before="120" w:after="120" w:line="276" w:lineRule="auto"/>
              <w:jc w:val="both"/>
              <w:rPr>
                <w:rFonts w:ascii="Arial" w:eastAsia="Calibri" w:hAnsi="Arial" w:cs="Arial"/>
                <w:b/>
                <w:noProof/>
              </w:rPr>
            </w:pPr>
            <w:r w:rsidRPr="001D50E3">
              <w:rPr>
                <w:rFonts w:ascii="Arial" w:eastAsia="Calibri" w:hAnsi="Arial" w:cs="Arial"/>
                <w:b/>
                <w:noProof/>
              </w:rPr>
              <w:t>Qellimi final  (2029)</w:t>
            </w:r>
          </w:p>
        </w:tc>
        <w:tc>
          <w:tcPr>
            <w:tcW w:w="460" w:type="pct"/>
            <w:shd w:val="clear" w:color="auto" w:fill="auto"/>
          </w:tcPr>
          <w:p w:rsidR="00FF2EC0" w:rsidRPr="001D50E3" w:rsidRDefault="00FF2EC0" w:rsidP="00754C28">
            <w:pPr>
              <w:spacing w:before="120" w:after="120" w:line="276" w:lineRule="auto"/>
              <w:jc w:val="both"/>
              <w:rPr>
                <w:rFonts w:ascii="Arial" w:eastAsia="Calibri" w:hAnsi="Arial" w:cs="Arial"/>
                <w:b/>
                <w:noProof/>
              </w:rPr>
            </w:pPr>
            <w:r w:rsidRPr="001D50E3">
              <w:rPr>
                <w:rFonts w:ascii="Arial" w:eastAsia="Calibri" w:hAnsi="Arial" w:cs="Arial"/>
                <w:b/>
                <w:noProof/>
              </w:rPr>
              <w:t>Burimi i te dhenave</w:t>
            </w:r>
          </w:p>
        </w:tc>
        <w:tc>
          <w:tcPr>
            <w:tcW w:w="626" w:type="pct"/>
          </w:tcPr>
          <w:p w:rsidR="00FF2EC0" w:rsidRPr="001D50E3" w:rsidRDefault="00FF2EC0" w:rsidP="00754C28">
            <w:pPr>
              <w:spacing w:before="120" w:after="120" w:line="276" w:lineRule="auto"/>
              <w:jc w:val="both"/>
              <w:rPr>
                <w:rFonts w:ascii="Arial" w:eastAsia="Calibri" w:hAnsi="Arial" w:cs="Arial"/>
                <w:b/>
                <w:noProof/>
              </w:rPr>
            </w:pPr>
            <w:r w:rsidRPr="001D50E3">
              <w:rPr>
                <w:rFonts w:ascii="Arial" w:eastAsia="Calibri" w:hAnsi="Arial" w:cs="Arial"/>
                <w:b/>
                <w:noProof/>
              </w:rPr>
              <w:t>Komente</w:t>
            </w:r>
          </w:p>
        </w:tc>
      </w:tr>
      <w:tr w:rsidR="00FF2EC0" w:rsidRPr="001D50E3" w:rsidTr="00754C28">
        <w:trPr>
          <w:trHeight w:val="629"/>
        </w:trPr>
        <w:tc>
          <w:tcPr>
            <w:tcW w:w="613" w:type="pct"/>
          </w:tcPr>
          <w:p w:rsidR="00FF2EC0" w:rsidRPr="001D50E3" w:rsidRDefault="00FF2EC0" w:rsidP="00754C28">
            <w:pPr>
              <w:spacing w:before="120" w:after="120" w:line="276" w:lineRule="auto"/>
              <w:rPr>
                <w:rFonts w:ascii="Arial" w:eastAsia="Calibri" w:hAnsi="Arial" w:cs="Arial"/>
                <w:i/>
                <w:noProof/>
              </w:rPr>
            </w:pPr>
            <w:r w:rsidRPr="001D50E3">
              <w:rPr>
                <w:rFonts w:ascii="Arial" w:eastAsia="Times New Roman" w:hAnsi="Arial" w:cs="Arial"/>
                <w:i/>
                <w:noProof/>
                <w:color w:val="000000"/>
                <w:lang w:eastAsia="en-GB"/>
              </w:rPr>
              <w:lastRenderedPageBreak/>
              <w:t>Rajoni kufitar më i gjelbër</w:t>
            </w:r>
          </w:p>
        </w:tc>
        <w:tc>
          <w:tcPr>
            <w:tcW w:w="711" w:type="pct"/>
          </w:tcPr>
          <w:p w:rsidR="00FF2EC0" w:rsidRPr="001D50E3" w:rsidRDefault="00FF2EC0" w:rsidP="00754C28">
            <w:pPr>
              <w:spacing w:before="120" w:after="120" w:line="276" w:lineRule="auto"/>
              <w:rPr>
                <w:rFonts w:ascii="Arial" w:eastAsia="Calibri" w:hAnsi="Arial" w:cs="Arial"/>
                <w:i/>
                <w:noProof/>
              </w:rPr>
            </w:pPr>
            <w:r w:rsidRPr="001D50E3">
              <w:rPr>
                <w:rFonts w:ascii="Arial" w:eastAsia="Times New Roman" w:hAnsi="Arial" w:cs="Arial"/>
                <w:i/>
                <w:noProof/>
                <w:color w:val="000000"/>
                <w:lang w:eastAsia="en-GB"/>
              </w:rPr>
              <w:t>1.1 Përmirësimi i mbrojtjes dhe ruajtjes së natyrës, biodiversitetit dhe infrastrukturës së gjelbër, përfshirë në zonat urbane, dhe reduktimi i të gjitha formave të ndotjes</w:t>
            </w:r>
          </w:p>
        </w:tc>
        <w:tc>
          <w:tcPr>
            <w:tcW w:w="501" w:type="pct"/>
          </w:tcPr>
          <w:p w:rsidR="00FF2EC0" w:rsidRPr="001D50E3" w:rsidRDefault="00FF2EC0" w:rsidP="00754C28">
            <w:pPr>
              <w:spacing w:before="120" w:after="120" w:line="276" w:lineRule="auto"/>
              <w:jc w:val="both"/>
              <w:rPr>
                <w:rFonts w:ascii="Arial" w:eastAsia="Calibri" w:hAnsi="Arial" w:cs="Arial"/>
                <w:i/>
                <w:noProof/>
              </w:rPr>
            </w:pPr>
            <w:r w:rsidRPr="001D50E3">
              <w:rPr>
                <w:rFonts w:ascii="Arial" w:eastAsia="Calibri" w:hAnsi="Arial" w:cs="Arial"/>
                <w:i/>
                <w:noProof/>
              </w:rPr>
              <w:t>RCR104</w:t>
            </w:r>
          </w:p>
        </w:tc>
        <w:tc>
          <w:tcPr>
            <w:tcW w:w="414" w:type="pct"/>
            <w:shd w:val="clear" w:color="auto" w:fill="auto"/>
          </w:tcPr>
          <w:p w:rsidR="00FF2EC0" w:rsidRPr="001D50E3" w:rsidRDefault="00FF2EC0" w:rsidP="00754C28">
            <w:pPr>
              <w:spacing w:before="120" w:after="120" w:line="276" w:lineRule="auto"/>
              <w:jc w:val="both"/>
              <w:rPr>
                <w:rFonts w:ascii="Arial" w:eastAsia="Times New Roman" w:hAnsi="Arial" w:cs="Arial"/>
                <w:i/>
                <w:noProof/>
                <w:color w:val="000000"/>
                <w:lang w:eastAsia="en-GB"/>
              </w:rPr>
            </w:pPr>
            <w:r w:rsidRPr="001D50E3">
              <w:rPr>
                <w:rFonts w:ascii="Arial" w:hAnsi="Arial" w:cs="Arial"/>
              </w:rPr>
              <w:br/>
            </w:r>
            <w:r w:rsidRPr="001D50E3">
              <w:rPr>
                <w:rFonts w:ascii="Arial" w:hAnsi="Arial" w:cs="Arial"/>
                <w:color w:val="202124"/>
                <w:shd w:val="clear" w:color="auto" w:fill="F8F9FA"/>
              </w:rPr>
              <w:t>Zgjidhjet e marra ose të shtuara nga autoritetet</w:t>
            </w:r>
          </w:p>
        </w:tc>
        <w:tc>
          <w:tcPr>
            <w:tcW w:w="505" w:type="pct"/>
          </w:tcPr>
          <w:p w:rsidR="00FF2EC0" w:rsidRPr="001D50E3" w:rsidRDefault="00FF2EC0" w:rsidP="00754C28">
            <w:pPr>
              <w:spacing w:before="120" w:after="120" w:line="276" w:lineRule="auto"/>
              <w:jc w:val="both"/>
              <w:rPr>
                <w:rFonts w:ascii="Arial" w:eastAsia="Times New Roman" w:hAnsi="Arial" w:cs="Arial"/>
                <w:i/>
                <w:noProof/>
                <w:color w:val="000000"/>
                <w:lang w:eastAsia="en-GB"/>
              </w:rPr>
            </w:pPr>
            <w:r w:rsidRPr="001D50E3">
              <w:rPr>
                <w:rFonts w:ascii="Arial" w:eastAsia="Times New Roman" w:hAnsi="Arial" w:cs="Arial"/>
                <w:i/>
                <w:noProof/>
                <w:color w:val="000000"/>
                <w:lang w:eastAsia="en-GB"/>
              </w:rPr>
              <w:t>Vendimi</w:t>
            </w:r>
          </w:p>
        </w:tc>
        <w:tc>
          <w:tcPr>
            <w:tcW w:w="460" w:type="pct"/>
          </w:tcPr>
          <w:p w:rsidR="00FF2EC0" w:rsidRPr="001D50E3" w:rsidRDefault="00FF2EC0" w:rsidP="00754C28">
            <w:pPr>
              <w:spacing w:before="120" w:after="120" w:line="276" w:lineRule="auto"/>
              <w:jc w:val="both"/>
              <w:rPr>
                <w:rFonts w:ascii="Arial" w:eastAsia="Calibri" w:hAnsi="Arial" w:cs="Arial"/>
                <w:i/>
                <w:noProof/>
              </w:rPr>
            </w:pPr>
          </w:p>
        </w:tc>
        <w:tc>
          <w:tcPr>
            <w:tcW w:w="334" w:type="pct"/>
          </w:tcPr>
          <w:p w:rsidR="00FF2EC0" w:rsidRPr="001D50E3" w:rsidRDefault="00FF2EC0" w:rsidP="00754C28">
            <w:pPr>
              <w:spacing w:before="120" w:after="120" w:line="276" w:lineRule="auto"/>
              <w:jc w:val="both"/>
              <w:rPr>
                <w:rFonts w:ascii="Arial" w:eastAsia="Calibri" w:hAnsi="Arial" w:cs="Arial"/>
                <w:noProof/>
              </w:rPr>
            </w:pPr>
          </w:p>
        </w:tc>
        <w:tc>
          <w:tcPr>
            <w:tcW w:w="376" w:type="pct"/>
            <w:shd w:val="clear" w:color="auto" w:fill="auto"/>
          </w:tcPr>
          <w:p w:rsidR="00FF2EC0" w:rsidRPr="001D50E3" w:rsidRDefault="00FF2EC0" w:rsidP="00754C28">
            <w:pPr>
              <w:spacing w:before="120" w:after="120" w:line="276" w:lineRule="auto"/>
              <w:jc w:val="center"/>
              <w:rPr>
                <w:rFonts w:ascii="Arial" w:eastAsia="Calibri" w:hAnsi="Arial" w:cs="Arial"/>
                <w:noProof/>
              </w:rPr>
            </w:pPr>
            <w:r w:rsidRPr="001D50E3">
              <w:rPr>
                <w:rFonts w:ascii="Arial" w:eastAsia="Calibri" w:hAnsi="Arial" w:cs="Arial"/>
                <w:noProof/>
              </w:rPr>
              <w:t>12</w:t>
            </w:r>
          </w:p>
        </w:tc>
        <w:tc>
          <w:tcPr>
            <w:tcW w:w="460" w:type="pct"/>
            <w:shd w:val="clear" w:color="auto" w:fill="auto"/>
          </w:tcPr>
          <w:p w:rsidR="00FF2EC0" w:rsidRPr="001D50E3" w:rsidRDefault="00FF2EC0" w:rsidP="00754C28">
            <w:pPr>
              <w:spacing w:before="120" w:after="120" w:line="276" w:lineRule="auto"/>
              <w:jc w:val="both"/>
              <w:rPr>
                <w:rFonts w:ascii="Arial" w:eastAsia="Calibri" w:hAnsi="Arial" w:cs="Arial"/>
                <w:i/>
                <w:noProof/>
              </w:rPr>
            </w:pPr>
            <w:r w:rsidRPr="001D50E3">
              <w:rPr>
                <w:rFonts w:ascii="Arial" w:eastAsia="Calibri" w:hAnsi="Arial" w:cs="Arial"/>
                <w:i/>
                <w:noProof/>
              </w:rPr>
              <w:t>Sistemi i monitorimit</w:t>
            </w:r>
          </w:p>
          <w:p w:rsidR="00FF2EC0" w:rsidRPr="001D50E3" w:rsidRDefault="00FF2EC0" w:rsidP="00754C28">
            <w:pPr>
              <w:spacing w:before="120" w:after="120" w:line="276" w:lineRule="auto"/>
              <w:jc w:val="both"/>
              <w:rPr>
                <w:rFonts w:ascii="Arial" w:eastAsia="Calibri" w:hAnsi="Arial" w:cs="Arial"/>
                <w:i/>
                <w:noProof/>
              </w:rPr>
            </w:pPr>
            <w:r w:rsidRPr="001D50E3">
              <w:rPr>
                <w:rFonts w:ascii="Arial" w:eastAsia="Calibri" w:hAnsi="Arial" w:cs="Arial"/>
                <w:i/>
                <w:noProof/>
              </w:rPr>
              <w:t>Tek Trupi Drejtues</w:t>
            </w:r>
          </w:p>
        </w:tc>
        <w:tc>
          <w:tcPr>
            <w:tcW w:w="626" w:type="pct"/>
          </w:tcPr>
          <w:p w:rsidR="00FF2EC0" w:rsidRPr="001D50E3" w:rsidRDefault="00FF2EC0" w:rsidP="00754C28">
            <w:pPr>
              <w:spacing w:line="276" w:lineRule="auto"/>
              <w:rPr>
                <w:rFonts w:ascii="Arial" w:eastAsia="Calibri" w:hAnsi="Arial" w:cs="Arial"/>
                <w:i/>
                <w:noProof/>
              </w:rPr>
            </w:pPr>
          </w:p>
        </w:tc>
      </w:tr>
    </w:tbl>
    <w:p w:rsidR="00FF2EC0" w:rsidRPr="00754C28" w:rsidRDefault="00FF2EC0" w:rsidP="00FF2EC0">
      <w:pPr>
        <w:rPr>
          <w:rFonts w:ascii="Arial" w:hAnsi="Arial" w:cs="Arial"/>
          <w:lang w:val="mk-MK"/>
        </w:rPr>
      </w:pPr>
    </w:p>
    <w:p w:rsidR="00FF2EC0" w:rsidRPr="001D50E3" w:rsidRDefault="00FF2EC0" w:rsidP="00754C28">
      <w:pPr>
        <w:spacing w:line="276" w:lineRule="auto"/>
        <w:jc w:val="both"/>
        <w:rPr>
          <w:rFonts w:ascii="Arial" w:hAnsi="Arial" w:cs="Arial"/>
          <w:b/>
        </w:rPr>
      </w:pPr>
      <w:r w:rsidRPr="001D50E3">
        <w:rPr>
          <w:rFonts w:ascii="Arial" w:hAnsi="Arial" w:cs="Arial"/>
          <w:b/>
        </w:rPr>
        <w:t>2.1.4. Grupet kryesore të synuara</w:t>
      </w:r>
    </w:p>
    <w:p w:rsidR="00FF2EC0" w:rsidRPr="001D50E3" w:rsidRDefault="00FF2EC0" w:rsidP="00754C28">
      <w:pPr>
        <w:spacing w:line="276" w:lineRule="auto"/>
        <w:jc w:val="both"/>
        <w:rPr>
          <w:rFonts w:ascii="Arial" w:hAnsi="Arial" w:cs="Arial"/>
          <w:b/>
        </w:rPr>
      </w:pPr>
      <w:r w:rsidRPr="001D50E3">
        <w:rPr>
          <w:rFonts w:ascii="Arial" w:hAnsi="Arial" w:cs="Arial"/>
          <w:b/>
        </w:rPr>
        <w:t>Referenca: Neni 17 (3) (g) (iii), Neni 17 (9) (iv) (9)</w:t>
      </w:r>
    </w:p>
    <w:p w:rsidR="00FF2EC0" w:rsidRPr="001D50E3" w:rsidRDefault="00FF2EC0" w:rsidP="00754C28">
      <w:pPr>
        <w:spacing w:line="276" w:lineRule="auto"/>
        <w:jc w:val="both"/>
        <w:rPr>
          <w:rFonts w:ascii="Arial" w:hAnsi="Arial" w:cs="Arial"/>
        </w:rPr>
      </w:pPr>
    </w:p>
    <w:tbl>
      <w:tblPr>
        <w:tblStyle w:val="TableGrid"/>
        <w:tblW w:w="0" w:type="auto"/>
        <w:tblLook w:val="04A0" w:firstRow="1" w:lastRow="0" w:firstColumn="1" w:lastColumn="0" w:noHBand="0" w:noVBand="1"/>
      </w:tblPr>
      <w:tblGrid>
        <w:gridCol w:w="9242"/>
      </w:tblGrid>
      <w:tr w:rsidR="00FF2EC0" w:rsidRPr="001D50E3" w:rsidTr="00754C28">
        <w:tc>
          <w:tcPr>
            <w:tcW w:w="9242" w:type="dxa"/>
          </w:tcPr>
          <w:p w:rsidR="00FF2EC0" w:rsidRPr="001D50E3" w:rsidRDefault="00FF2EC0" w:rsidP="00754C28">
            <w:pPr>
              <w:spacing w:line="276" w:lineRule="auto"/>
              <w:jc w:val="both"/>
              <w:rPr>
                <w:rFonts w:ascii="Arial" w:hAnsi="Arial" w:cs="Arial"/>
                <w:lang w:val="en-US"/>
              </w:rPr>
            </w:pPr>
            <w:r w:rsidRPr="001D50E3">
              <w:rPr>
                <w:rFonts w:ascii="Arial" w:hAnsi="Arial" w:cs="Arial"/>
              </w:rPr>
              <w:t>Kutia e tekstit (7000)</w:t>
            </w:r>
          </w:p>
          <w:p w:rsidR="00FF2EC0" w:rsidRPr="001D50E3" w:rsidRDefault="00FF2EC0" w:rsidP="00754C28">
            <w:pPr>
              <w:spacing w:line="276" w:lineRule="auto"/>
              <w:jc w:val="both"/>
              <w:rPr>
                <w:rFonts w:ascii="Arial" w:hAnsi="Arial" w:cs="Arial"/>
              </w:rPr>
            </w:pPr>
            <w:r w:rsidRPr="001D50E3">
              <w:rPr>
                <w:rFonts w:ascii="Arial" w:hAnsi="Arial" w:cs="Arial"/>
              </w:rPr>
              <w:t>Praktikat e Infrastrukturës së Gjelbër (GI) kontribuojnë në komunitetet elastike dhe rezultojnë në përfitime të shumta për një territor të caktuar. Nën ndikimin e lidhjes, multifunksionalitetit dhe planifikimit hapësinor me shumë shkallë, IP mund të përmirësojë shëndetin dhe mirëqenien e njerëzve, të mbështesë ekonominë e gjelbër, të krijojë mundësi pune dhe të përmirësojë biodiversitetin. Grupet kryesore të synuara të paraqitura nën objektivin specifik "Përmirësimi dhe ruajtja e natyrës, biodiversitetit dhe infrastrukturës së gjelbër, përfshirë në zonat urbane, dhe reduktimi i të gjitha formave të ndotjes" ilustrojnë të gjitha ato grupe komunitetesh që përfitojnë më shumë nga efektet multisektoriale të përmirësimit. infrastruktura e gjelbër:</w:t>
            </w:r>
          </w:p>
          <w:p w:rsidR="00FF2EC0" w:rsidRPr="001D50E3" w:rsidRDefault="00FF2EC0" w:rsidP="00754C28">
            <w:pPr>
              <w:spacing w:line="276" w:lineRule="auto"/>
              <w:jc w:val="both"/>
              <w:rPr>
                <w:rFonts w:ascii="Arial" w:hAnsi="Arial" w:cs="Arial"/>
              </w:rPr>
            </w:pPr>
            <w:r w:rsidRPr="001D50E3">
              <w:rPr>
                <w:rFonts w:ascii="Arial" w:hAnsi="Arial" w:cs="Arial"/>
                <w:lang w:val="en-US"/>
              </w:rPr>
              <w:t>-</w:t>
            </w:r>
            <w:r w:rsidRPr="001D50E3">
              <w:rPr>
                <w:rFonts w:ascii="Arial" w:hAnsi="Arial" w:cs="Arial"/>
              </w:rPr>
              <w:t>Popullsia n n</w:t>
            </w:r>
            <w:r w:rsidRPr="001D50E3">
              <w:rPr>
                <w:rFonts w:ascii="Arial" w:hAnsi="Arial" w:cs="Arial"/>
                <w:lang w:val="en-US"/>
              </w:rPr>
              <w:t xml:space="preserve">ë nivel lokal </w:t>
            </w:r>
            <w:r w:rsidRPr="001D50E3">
              <w:rPr>
                <w:rFonts w:ascii="Arial" w:hAnsi="Arial" w:cs="Arial"/>
              </w:rPr>
              <w:t>dhe i vizituar në vend</w:t>
            </w:r>
          </w:p>
          <w:p w:rsidR="00FF2EC0" w:rsidRPr="001D50E3" w:rsidRDefault="00FF2EC0" w:rsidP="00754C28">
            <w:pPr>
              <w:spacing w:line="276" w:lineRule="auto"/>
              <w:jc w:val="both"/>
              <w:rPr>
                <w:rFonts w:ascii="Arial" w:hAnsi="Arial" w:cs="Arial"/>
              </w:rPr>
            </w:pPr>
            <w:r w:rsidRPr="001D50E3">
              <w:rPr>
                <w:rFonts w:ascii="Arial" w:hAnsi="Arial" w:cs="Arial"/>
                <w:lang w:val="en-US"/>
              </w:rPr>
              <w:t>-</w:t>
            </w:r>
            <w:r w:rsidRPr="001D50E3">
              <w:rPr>
                <w:rFonts w:ascii="Arial" w:hAnsi="Arial" w:cs="Arial"/>
              </w:rPr>
              <w:t>Pushteti vendor dhe strukturat rajonale të administratës qendrore</w:t>
            </w:r>
          </w:p>
          <w:p w:rsidR="00FF2EC0" w:rsidRPr="001D50E3" w:rsidRDefault="00FF2EC0" w:rsidP="00754C28">
            <w:pPr>
              <w:spacing w:line="276" w:lineRule="auto"/>
              <w:jc w:val="both"/>
              <w:rPr>
                <w:rFonts w:ascii="Arial" w:hAnsi="Arial" w:cs="Arial"/>
              </w:rPr>
            </w:pPr>
            <w:r w:rsidRPr="001D50E3">
              <w:rPr>
                <w:rFonts w:ascii="Arial" w:hAnsi="Arial" w:cs="Arial"/>
                <w:lang w:val="en-US"/>
              </w:rPr>
              <w:t>-</w:t>
            </w:r>
            <w:r w:rsidRPr="001D50E3">
              <w:rPr>
                <w:rFonts w:ascii="Arial" w:hAnsi="Arial" w:cs="Arial"/>
              </w:rPr>
              <w:t>Kërkim dhe Zhvillim - Kërkim dhe Zhvillim, institucione akademike dhe shkencore</w:t>
            </w:r>
          </w:p>
          <w:p w:rsidR="00FF2EC0" w:rsidRPr="00754C28" w:rsidRDefault="00FF2EC0" w:rsidP="00754C28">
            <w:pPr>
              <w:spacing w:line="276" w:lineRule="auto"/>
              <w:jc w:val="both"/>
              <w:rPr>
                <w:rFonts w:ascii="Arial" w:hAnsi="Arial" w:cs="Arial"/>
                <w:lang w:val="mk-MK"/>
              </w:rPr>
            </w:pPr>
            <w:r w:rsidRPr="001D50E3">
              <w:rPr>
                <w:rFonts w:ascii="Arial" w:hAnsi="Arial" w:cs="Arial"/>
              </w:rPr>
              <w:t>OJQ-të</w:t>
            </w:r>
          </w:p>
        </w:tc>
      </w:tr>
    </w:tbl>
    <w:p w:rsidR="00FF2EC0" w:rsidRPr="00754C28" w:rsidRDefault="00FF2EC0" w:rsidP="00FF2EC0">
      <w:pPr>
        <w:rPr>
          <w:rFonts w:ascii="Arial" w:hAnsi="Arial" w:cs="Arial"/>
          <w:lang w:val="mk-MK"/>
        </w:rPr>
      </w:pPr>
    </w:p>
    <w:p w:rsidR="00FF2EC0" w:rsidRPr="001D50E3" w:rsidRDefault="00FF2EC0" w:rsidP="00754C28">
      <w:pPr>
        <w:spacing w:line="276" w:lineRule="auto"/>
        <w:rPr>
          <w:rFonts w:ascii="Arial" w:hAnsi="Arial" w:cs="Arial"/>
          <w:b/>
          <w:lang w:val="en-US"/>
        </w:rPr>
      </w:pPr>
      <w:r w:rsidRPr="001D50E3">
        <w:rPr>
          <w:rFonts w:ascii="Arial" w:hAnsi="Arial" w:cs="Arial"/>
          <w:b/>
          <w:lang w:val="en-US"/>
        </w:rPr>
        <w:t>2.1.5. Tregimi i territoreve specifike që do të synohen, duke përfshirë përdorimin e planifikuar të Investimeve të Integruara Territoriale - ITI, Zhvillimi Lokal i udhëhequr nga Komuniteti (CLLD) ose mjete të tjera territoriale</w:t>
      </w:r>
    </w:p>
    <w:p w:rsidR="00FF2EC0" w:rsidRPr="00754C28" w:rsidRDefault="00FF2EC0" w:rsidP="00754C28">
      <w:pPr>
        <w:spacing w:line="276" w:lineRule="auto"/>
        <w:rPr>
          <w:rFonts w:ascii="Arial" w:hAnsi="Arial" w:cs="Arial"/>
          <w:b/>
          <w:lang w:val="mk-MK"/>
        </w:rPr>
      </w:pPr>
      <w:r w:rsidRPr="001D50E3">
        <w:rPr>
          <w:rFonts w:ascii="Arial" w:hAnsi="Arial" w:cs="Arial"/>
          <w:b/>
          <w:lang w:val="en-US"/>
        </w:rPr>
        <w:t>Referenca: Neni pika (e) (iv) e 17 (3)</w:t>
      </w:r>
    </w:p>
    <w:tbl>
      <w:tblPr>
        <w:tblStyle w:val="TableGrid"/>
        <w:tblW w:w="0" w:type="auto"/>
        <w:tblLook w:val="04A0" w:firstRow="1" w:lastRow="0" w:firstColumn="1" w:lastColumn="0" w:noHBand="0" w:noVBand="1"/>
      </w:tblPr>
      <w:tblGrid>
        <w:gridCol w:w="9242"/>
      </w:tblGrid>
      <w:tr w:rsidR="00FF2EC0" w:rsidRPr="001D50E3" w:rsidTr="00754C28">
        <w:tc>
          <w:tcPr>
            <w:tcW w:w="9242" w:type="dxa"/>
          </w:tcPr>
          <w:p w:rsidR="00FF2EC0" w:rsidRPr="001D50E3" w:rsidRDefault="00FF2EC0" w:rsidP="00754C28">
            <w:pPr>
              <w:spacing w:line="276" w:lineRule="auto"/>
              <w:rPr>
                <w:rFonts w:ascii="Arial" w:hAnsi="Arial" w:cs="Arial"/>
                <w:lang w:val="en-US"/>
              </w:rPr>
            </w:pPr>
            <w:r w:rsidRPr="001D50E3">
              <w:rPr>
                <w:rFonts w:ascii="Arial" w:hAnsi="Arial" w:cs="Arial"/>
                <w:lang w:val="en-US"/>
              </w:rPr>
              <w:t>Kutia e tekstit [7000]</w:t>
            </w:r>
          </w:p>
        </w:tc>
      </w:tr>
    </w:tbl>
    <w:p w:rsidR="00FF2EC0" w:rsidRDefault="00FF2EC0" w:rsidP="00FF2EC0">
      <w:pPr>
        <w:rPr>
          <w:rFonts w:ascii="Arial" w:hAnsi="Arial" w:cs="Arial"/>
          <w:lang w:val="mk-MK"/>
        </w:rPr>
      </w:pPr>
    </w:p>
    <w:p w:rsidR="00754C28" w:rsidRPr="00754C28" w:rsidRDefault="00754C28" w:rsidP="00FF2EC0">
      <w:pPr>
        <w:rPr>
          <w:rFonts w:ascii="Arial" w:hAnsi="Arial" w:cs="Arial"/>
          <w:lang w:val="mk-MK"/>
        </w:rPr>
      </w:pPr>
    </w:p>
    <w:p w:rsidR="00FF2EC0" w:rsidRPr="001D50E3" w:rsidRDefault="00FF2EC0" w:rsidP="00754C28">
      <w:pPr>
        <w:spacing w:line="276" w:lineRule="auto"/>
        <w:jc w:val="both"/>
        <w:rPr>
          <w:rFonts w:ascii="Arial" w:hAnsi="Arial" w:cs="Arial"/>
          <w:b/>
          <w:lang w:val="en-US"/>
        </w:rPr>
      </w:pPr>
      <w:r w:rsidRPr="001D50E3">
        <w:rPr>
          <w:rFonts w:ascii="Arial" w:hAnsi="Arial" w:cs="Arial"/>
          <w:b/>
          <w:lang w:val="en-US"/>
        </w:rPr>
        <w:lastRenderedPageBreak/>
        <w:t>2.1.6. Përdorimi i planifikuar i instrumenteve financiare</w:t>
      </w:r>
    </w:p>
    <w:p w:rsidR="00FF2EC0" w:rsidRPr="001D50E3" w:rsidRDefault="00FF2EC0" w:rsidP="00754C28">
      <w:pPr>
        <w:spacing w:line="276" w:lineRule="auto"/>
        <w:jc w:val="both"/>
        <w:rPr>
          <w:rFonts w:ascii="Arial" w:hAnsi="Arial" w:cs="Arial"/>
          <w:b/>
          <w:lang w:val="en-US"/>
        </w:rPr>
      </w:pPr>
      <w:r w:rsidRPr="001D50E3">
        <w:rPr>
          <w:rFonts w:ascii="Arial" w:hAnsi="Arial" w:cs="Arial"/>
          <w:b/>
          <w:lang w:val="en-US"/>
        </w:rPr>
        <w:t>Referenca: pika (e) (v) e nenit 17 (3)</w:t>
      </w:r>
    </w:p>
    <w:p w:rsidR="00FF2EC0" w:rsidRPr="001D50E3" w:rsidRDefault="00FF2EC0" w:rsidP="00754C28">
      <w:pPr>
        <w:spacing w:line="276" w:lineRule="auto"/>
        <w:jc w:val="both"/>
        <w:rPr>
          <w:rFonts w:ascii="Arial" w:hAnsi="Arial" w:cs="Arial"/>
          <w:lang w:val="en-US"/>
        </w:rPr>
      </w:pPr>
    </w:p>
    <w:tbl>
      <w:tblPr>
        <w:tblStyle w:val="TableGrid"/>
        <w:tblW w:w="0" w:type="auto"/>
        <w:tblLook w:val="04A0" w:firstRow="1" w:lastRow="0" w:firstColumn="1" w:lastColumn="0" w:noHBand="0" w:noVBand="1"/>
      </w:tblPr>
      <w:tblGrid>
        <w:gridCol w:w="9242"/>
      </w:tblGrid>
      <w:tr w:rsidR="00FF2EC0" w:rsidRPr="001D50E3" w:rsidTr="00754C28">
        <w:tc>
          <w:tcPr>
            <w:tcW w:w="9242" w:type="dxa"/>
          </w:tcPr>
          <w:p w:rsidR="00FF2EC0" w:rsidRPr="001D50E3" w:rsidRDefault="00FF2EC0" w:rsidP="00754C28">
            <w:pPr>
              <w:spacing w:line="276" w:lineRule="auto"/>
              <w:jc w:val="both"/>
              <w:rPr>
                <w:rFonts w:ascii="Arial" w:hAnsi="Arial" w:cs="Arial"/>
                <w:lang w:val="en-US"/>
              </w:rPr>
            </w:pPr>
            <w:r w:rsidRPr="001D50E3">
              <w:rPr>
                <w:rFonts w:ascii="Arial" w:hAnsi="Arial" w:cs="Arial"/>
                <w:lang w:val="en-US"/>
              </w:rPr>
              <w:t>Kutia e tekstit [7000]</w:t>
            </w:r>
          </w:p>
          <w:p w:rsidR="00FF2EC0" w:rsidRPr="001D50E3" w:rsidRDefault="00FF2EC0" w:rsidP="00754C28">
            <w:pPr>
              <w:spacing w:line="276" w:lineRule="auto"/>
              <w:jc w:val="both"/>
              <w:rPr>
                <w:rFonts w:ascii="Arial" w:hAnsi="Arial" w:cs="Arial"/>
                <w:lang w:val="en-US"/>
              </w:rPr>
            </w:pPr>
            <w:r w:rsidRPr="001D50E3">
              <w:rPr>
                <w:rFonts w:ascii="Arial" w:hAnsi="Arial" w:cs="Arial"/>
                <w:lang w:val="en-US"/>
              </w:rPr>
              <w:t>Nuk aplikohet</w:t>
            </w:r>
          </w:p>
          <w:p w:rsidR="00FF2EC0" w:rsidRPr="001D50E3" w:rsidRDefault="00FF2EC0" w:rsidP="00754C28">
            <w:pPr>
              <w:spacing w:line="276" w:lineRule="auto"/>
              <w:jc w:val="both"/>
              <w:rPr>
                <w:rFonts w:ascii="Arial" w:hAnsi="Arial" w:cs="Arial"/>
                <w:lang w:val="en-US"/>
              </w:rPr>
            </w:pPr>
          </w:p>
        </w:tc>
      </w:tr>
    </w:tbl>
    <w:p w:rsidR="00FF2EC0" w:rsidRPr="001D50E3" w:rsidRDefault="00FF2EC0" w:rsidP="00754C28">
      <w:pPr>
        <w:spacing w:line="276" w:lineRule="auto"/>
        <w:jc w:val="both"/>
        <w:rPr>
          <w:rFonts w:ascii="Arial" w:hAnsi="Arial" w:cs="Arial"/>
          <w:lang w:val="en-US"/>
        </w:rPr>
      </w:pPr>
    </w:p>
    <w:p w:rsidR="00FF2EC0" w:rsidRPr="001D50E3" w:rsidRDefault="00FF2EC0" w:rsidP="00754C28">
      <w:pPr>
        <w:spacing w:line="276" w:lineRule="auto"/>
        <w:jc w:val="both"/>
        <w:rPr>
          <w:rFonts w:ascii="Arial" w:hAnsi="Arial" w:cs="Arial"/>
          <w:b/>
          <w:lang w:val="en-US"/>
        </w:rPr>
      </w:pPr>
      <w:r w:rsidRPr="001D50E3">
        <w:rPr>
          <w:rFonts w:ascii="Arial" w:hAnsi="Arial" w:cs="Arial"/>
          <w:b/>
          <w:lang w:val="en-US"/>
        </w:rPr>
        <w:t>2.1.7. Rishikimi indikativ i burimeve të programit të BE-së sipas llojit të ndërhyrjes</w:t>
      </w:r>
    </w:p>
    <w:p w:rsidR="00FF2EC0" w:rsidRPr="001D50E3" w:rsidRDefault="00FF2EC0" w:rsidP="00754C28">
      <w:pPr>
        <w:spacing w:line="276" w:lineRule="auto"/>
        <w:jc w:val="both"/>
        <w:rPr>
          <w:rFonts w:ascii="Arial" w:hAnsi="Arial" w:cs="Arial"/>
          <w:lang w:val="en-US"/>
        </w:rPr>
      </w:pPr>
      <w:r w:rsidRPr="001D50E3">
        <w:rPr>
          <w:rFonts w:ascii="Arial" w:hAnsi="Arial" w:cs="Arial"/>
          <w:b/>
          <w:lang w:val="en-US"/>
        </w:rPr>
        <w:t>Referenca: pika (g) (vi) e nenit 17 (3), pika (g) (v) e nenit 17</w:t>
      </w:r>
      <w:r w:rsidRPr="001D50E3">
        <w:rPr>
          <w:rFonts w:ascii="Arial" w:hAnsi="Arial" w:cs="Arial"/>
          <w:lang w:val="en-US"/>
        </w:rPr>
        <w:t xml:space="preserve"> (9)</w:t>
      </w:r>
    </w:p>
    <w:p w:rsidR="00FF2EC0" w:rsidRPr="00754C28" w:rsidRDefault="00FF2EC0" w:rsidP="00754C28">
      <w:pPr>
        <w:spacing w:line="276" w:lineRule="auto"/>
        <w:jc w:val="both"/>
        <w:rPr>
          <w:rFonts w:ascii="Arial" w:hAnsi="Arial" w:cs="Arial"/>
          <w:lang w:val="mk-MK"/>
        </w:rPr>
      </w:pPr>
    </w:p>
    <w:p w:rsidR="00FF2EC0" w:rsidRDefault="00FF2EC0" w:rsidP="00754C28">
      <w:pPr>
        <w:spacing w:line="276" w:lineRule="auto"/>
        <w:rPr>
          <w:rFonts w:ascii="Arial" w:hAnsi="Arial" w:cs="Arial"/>
          <w:b/>
          <w:lang w:val="mk-MK"/>
        </w:rPr>
      </w:pPr>
      <w:r w:rsidRPr="001D50E3">
        <w:rPr>
          <w:rFonts w:ascii="Arial" w:hAnsi="Arial" w:cs="Arial"/>
          <w:b/>
          <w:lang w:val="en-US"/>
        </w:rPr>
        <w:t>Tabela 4: Dimensioni 1 - fushë ndërhyrjeje</w:t>
      </w:r>
    </w:p>
    <w:p w:rsidR="00754C28" w:rsidRPr="00754C28" w:rsidRDefault="00754C28" w:rsidP="00754C28">
      <w:pPr>
        <w:spacing w:line="276" w:lineRule="auto"/>
        <w:rPr>
          <w:rFonts w:ascii="Arial" w:hAnsi="Arial" w:cs="Arial"/>
          <w:b/>
          <w:lang w:val="mk-MK"/>
        </w:rPr>
      </w:pPr>
    </w:p>
    <w:tbl>
      <w:tblPr>
        <w:tblStyle w:val="TableGrid1"/>
        <w:tblW w:w="9918" w:type="dxa"/>
        <w:tblLook w:val="04A0" w:firstRow="1" w:lastRow="0" w:firstColumn="1" w:lastColumn="0" w:noHBand="0" w:noVBand="1"/>
      </w:tblPr>
      <w:tblGrid>
        <w:gridCol w:w="1271"/>
        <w:gridCol w:w="1559"/>
        <w:gridCol w:w="1701"/>
        <w:gridCol w:w="3402"/>
        <w:gridCol w:w="1985"/>
      </w:tblGrid>
      <w:tr w:rsidR="00FF2EC0" w:rsidRPr="001D50E3" w:rsidTr="00754C28">
        <w:tc>
          <w:tcPr>
            <w:tcW w:w="1271" w:type="dxa"/>
          </w:tcPr>
          <w:p w:rsidR="00FF2EC0" w:rsidRPr="001D50E3" w:rsidRDefault="00FF2EC0" w:rsidP="00754C28">
            <w:pPr>
              <w:spacing w:line="276" w:lineRule="auto"/>
              <w:rPr>
                <w:rFonts w:ascii="Arial" w:eastAsia="Times New Roman" w:hAnsi="Arial" w:cs="Arial"/>
                <w:b/>
                <w:iCs/>
                <w:noProof/>
                <w:lang w:val="mk-MK" w:eastAsia="en-GB"/>
              </w:rPr>
            </w:pPr>
            <w:r w:rsidRPr="001D50E3">
              <w:rPr>
                <w:rFonts w:ascii="Arial" w:eastAsia="Times New Roman" w:hAnsi="Arial" w:cs="Arial"/>
                <w:b/>
                <w:iCs/>
                <w:noProof/>
                <w:lang w:val="en-US" w:eastAsia="en-GB"/>
              </w:rPr>
              <w:t>Prioritetet</w:t>
            </w:r>
            <w:r w:rsidRPr="001D50E3">
              <w:rPr>
                <w:rFonts w:ascii="Arial" w:eastAsia="Times New Roman" w:hAnsi="Arial" w:cs="Arial"/>
                <w:b/>
                <w:iCs/>
                <w:noProof/>
                <w:lang w:val="mk-MK" w:eastAsia="en-GB"/>
              </w:rPr>
              <w:t xml:space="preserve"> </w:t>
            </w:r>
          </w:p>
        </w:tc>
        <w:tc>
          <w:tcPr>
            <w:tcW w:w="1559" w:type="dxa"/>
          </w:tcPr>
          <w:p w:rsidR="00FF2EC0" w:rsidRPr="001D50E3" w:rsidRDefault="00FF2EC0" w:rsidP="00754C28">
            <w:pPr>
              <w:spacing w:line="276" w:lineRule="auto"/>
              <w:rPr>
                <w:rFonts w:ascii="Arial" w:eastAsia="Times New Roman" w:hAnsi="Arial" w:cs="Arial"/>
                <w:b/>
                <w:iCs/>
                <w:noProof/>
                <w:lang w:val="en-US" w:eastAsia="en-GB"/>
              </w:rPr>
            </w:pPr>
            <w:r w:rsidRPr="001D50E3">
              <w:rPr>
                <w:rFonts w:ascii="Arial" w:eastAsia="Times New Roman" w:hAnsi="Arial" w:cs="Arial"/>
                <w:b/>
                <w:iCs/>
                <w:noProof/>
                <w:lang w:val="en-US" w:eastAsia="en-GB"/>
              </w:rPr>
              <w:t>Fondi</w:t>
            </w:r>
          </w:p>
        </w:tc>
        <w:tc>
          <w:tcPr>
            <w:tcW w:w="1701" w:type="dxa"/>
          </w:tcPr>
          <w:p w:rsidR="00FF2EC0" w:rsidRPr="001D50E3" w:rsidRDefault="00FF2EC0" w:rsidP="00754C28">
            <w:pPr>
              <w:spacing w:line="276" w:lineRule="auto"/>
              <w:rPr>
                <w:rFonts w:ascii="Arial" w:eastAsia="Times New Roman" w:hAnsi="Arial" w:cs="Arial"/>
                <w:b/>
                <w:iCs/>
                <w:noProof/>
                <w:lang w:val="en-US" w:eastAsia="en-GB"/>
              </w:rPr>
            </w:pPr>
            <w:r w:rsidRPr="001D50E3">
              <w:rPr>
                <w:rFonts w:ascii="Arial" w:eastAsia="Times New Roman" w:hAnsi="Arial" w:cs="Arial"/>
                <w:b/>
                <w:iCs/>
                <w:noProof/>
                <w:lang w:val="en-US" w:eastAsia="en-GB"/>
              </w:rPr>
              <w:t>Qëllimi konkret</w:t>
            </w:r>
          </w:p>
        </w:tc>
        <w:tc>
          <w:tcPr>
            <w:tcW w:w="3402" w:type="dxa"/>
          </w:tcPr>
          <w:p w:rsidR="00FF2EC0" w:rsidRPr="001D50E3" w:rsidRDefault="00FF2EC0" w:rsidP="00754C28">
            <w:pPr>
              <w:spacing w:line="276" w:lineRule="auto"/>
              <w:rPr>
                <w:rFonts w:ascii="Arial" w:eastAsia="Times New Roman" w:hAnsi="Arial" w:cs="Arial"/>
                <w:b/>
                <w:iCs/>
                <w:noProof/>
                <w:lang w:eastAsia="en-GB"/>
              </w:rPr>
            </w:pPr>
            <w:r w:rsidRPr="001D50E3">
              <w:rPr>
                <w:rFonts w:ascii="Arial" w:eastAsia="Times New Roman" w:hAnsi="Arial" w:cs="Arial"/>
                <w:b/>
                <w:iCs/>
                <w:noProof/>
                <w:lang w:val="en-US" w:eastAsia="en-GB"/>
              </w:rPr>
              <w:t>Kodi</w:t>
            </w:r>
            <w:r w:rsidRPr="001D50E3">
              <w:rPr>
                <w:rFonts w:ascii="Arial" w:eastAsia="Times New Roman" w:hAnsi="Arial" w:cs="Arial"/>
                <w:b/>
                <w:iCs/>
                <w:noProof/>
                <w:lang w:eastAsia="en-GB"/>
              </w:rPr>
              <w:t xml:space="preserve"> </w:t>
            </w:r>
          </w:p>
        </w:tc>
        <w:tc>
          <w:tcPr>
            <w:tcW w:w="1985" w:type="dxa"/>
          </w:tcPr>
          <w:p w:rsidR="00FF2EC0" w:rsidRPr="001D50E3" w:rsidRDefault="00FF2EC0" w:rsidP="00754C28">
            <w:pPr>
              <w:spacing w:line="276" w:lineRule="auto"/>
              <w:rPr>
                <w:rFonts w:ascii="Arial" w:eastAsia="Times New Roman" w:hAnsi="Arial" w:cs="Arial"/>
                <w:b/>
                <w:iCs/>
                <w:noProof/>
                <w:lang w:eastAsia="en-GB"/>
              </w:rPr>
            </w:pPr>
            <w:r w:rsidRPr="001D50E3">
              <w:rPr>
                <w:rFonts w:ascii="Arial" w:eastAsia="Times New Roman" w:hAnsi="Arial" w:cs="Arial"/>
                <w:b/>
                <w:iCs/>
                <w:noProof/>
                <w:lang w:val="en-US" w:eastAsia="en-GB"/>
              </w:rPr>
              <w:t>Shuma</w:t>
            </w:r>
            <w:r w:rsidRPr="001D50E3">
              <w:rPr>
                <w:rFonts w:ascii="Arial" w:eastAsia="Times New Roman" w:hAnsi="Arial" w:cs="Arial"/>
                <w:b/>
                <w:iCs/>
                <w:noProof/>
                <w:lang w:eastAsia="en-GB"/>
              </w:rPr>
              <w:t xml:space="preserve"> (</w:t>
            </w:r>
            <w:r w:rsidRPr="001D50E3">
              <w:rPr>
                <w:rFonts w:ascii="Arial" w:eastAsia="Times New Roman" w:hAnsi="Arial" w:cs="Arial"/>
                <w:b/>
                <w:iCs/>
                <w:noProof/>
                <w:lang w:val="mk-MK" w:eastAsia="en-GB"/>
              </w:rPr>
              <w:t>Е</w:t>
            </w:r>
            <w:r w:rsidRPr="001D50E3">
              <w:rPr>
                <w:rFonts w:ascii="Arial" w:eastAsia="Times New Roman" w:hAnsi="Arial" w:cs="Arial"/>
                <w:b/>
                <w:iCs/>
                <w:noProof/>
                <w:lang w:val="en-US" w:eastAsia="en-GB"/>
              </w:rPr>
              <w:t>uro</w:t>
            </w:r>
            <w:r w:rsidRPr="001D50E3">
              <w:rPr>
                <w:rFonts w:ascii="Arial" w:eastAsia="Times New Roman" w:hAnsi="Arial" w:cs="Arial"/>
                <w:b/>
                <w:iCs/>
                <w:noProof/>
                <w:lang w:eastAsia="en-GB"/>
              </w:rPr>
              <w:t>)</w:t>
            </w:r>
          </w:p>
          <w:p w:rsidR="00FF2EC0" w:rsidRPr="001D50E3" w:rsidRDefault="00FF2EC0" w:rsidP="00754C28">
            <w:pPr>
              <w:spacing w:line="276" w:lineRule="auto"/>
              <w:rPr>
                <w:rFonts w:ascii="Arial" w:eastAsia="Times New Roman" w:hAnsi="Arial" w:cs="Arial"/>
                <w:b/>
                <w:iCs/>
                <w:noProof/>
                <w:lang w:eastAsia="en-GB"/>
              </w:rPr>
            </w:pPr>
          </w:p>
        </w:tc>
      </w:tr>
      <w:tr w:rsidR="00FF2EC0" w:rsidRPr="001D50E3" w:rsidTr="00754C28">
        <w:tc>
          <w:tcPr>
            <w:tcW w:w="1271" w:type="dxa"/>
          </w:tcPr>
          <w:p w:rsidR="00FF2EC0" w:rsidRPr="001D50E3" w:rsidRDefault="00FF2EC0" w:rsidP="00754C28">
            <w:pPr>
              <w:spacing w:line="276" w:lineRule="auto"/>
              <w:jc w:val="center"/>
              <w:rPr>
                <w:rFonts w:ascii="Arial" w:eastAsia="Times New Roman" w:hAnsi="Arial" w:cs="Arial"/>
                <w:iCs/>
                <w:noProof/>
                <w:lang w:eastAsia="en-GB"/>
              </w:rPr>
            </w:pPr>
            <w:r w:rsidRPr="001D50E3">
              <w:rPr>
                <w:rFonts w:ascii="Arial" w:eastAsia="Times New Roman" w:hAnsi="Arial" w:cs="Arial"/>
                <w:iCs/>
                <w:noProof/>
                <w:lang w:eastAsia="en-GB"/>
              </w:rPr>
              <w:t>1</w:t>
            </w:r>
          </w:p>
        </w:tc>
        <w:tc>
          <w:tcPr>
            <w:tcW w:w="1559" w:type="dxa"/>
          </w:tcPr>
          <w:p w:rsidR="00FF2EC0" w:rsidRPr="001D50E3" w:rsidRDefault="00FF2EC0" w:rsidP="00754C28">
            <w:pPr>
              <w:spacing w:line="276" w:lineRule="auto"/>
              <w:jc w:val="both"/>
              <w:rPr>
                <w:rFonts w:ascii="Arial" w:eastAsia="Times New Roman" w:hAnsi="Arial" w:cs="Arial"/>
                <w:iCs/>
                <w:noProof/>
                <w:lang w:eastAsia="en-GB"/>
              </w:rPr>
            </w:pPr>
            <w:r w:rsidRPr="001D50E3">
              <w:rPr>
                <w:rFonts w:ascii="Arial" w:eastAsia="Times New Roman" w:hAnsi="Arial" w:cs="Arial"/>
                <w:iCs/>
                <w:noProof/>
                <w:lang w:val="mk-MK" w:eastAsia="en-GB"/>
              </w:rPr>
              <w:t>Fondet e Unionit (Fondi Evropian i Zhvillimit Rajonal - ERDF dhe IPA)</w:t>
            </w:r>
          </w:p>
        </w:tc>
        <w:tc>
          <w:tcPr>
            <w:tcW w:w="1701" w:type="dxa"/>
          </w:tcPr>
          <w:p w:rsidR="00FF2EC0" w:rsidRPr="001D50E3" w:rsidRDefault="00FF2EC0" w:rsidP="00754C28">
            <w:pPr>
              <w:spacing w:line="276" w:lineRule="auto"/>
              <w:jc w:val="center"/>
              <w:rPr>
                <w:rFonts w:ascii="Arial" w:eastAsia="Times New Roman" w:hAnsi="Arial" w:cs="Arial"/>
                <w:iCs/>
                <w:noProof/>
                <w:lang w:eastAsia="en-GB"/>
              </w:rPr>
            </w:pPr>
            <w:r w:rsidRPr="001D50E3">
              <w:rPr>
                <w:rFonts w:ascii="Arial" w:eastAsia="Times New Roman" w:hAnsi="Arial" w:cs="Arial"/>
                <w:iCs/>
                <w:noProof/>
                <w:lang w:eastAsia="en-GB"/>
              </w:rPr>
              <w:t>1.1.</w:t>
            </w:r>
          </w:p>
        </w:tc>
        <w:tc>
          <w:tcPr>
            <w:tcW w:w="3402" w:type="dxa"/>
            <w:tcBorders>
              <w:bottom w:val="single" w:sz="4" w:space="0" w:color="auto"/>
            </w:tcBorders>
          </w:tcPr>
          <w:p w:rsidR="00FF2EC0" w:rsidRPr="001D50E3" w:rsidRDefault="00FF2EC0" w:rsidP="00754C28">
            <w:pPr>
              <w:spacing w:line="276" w:lineRule="auto"/>
              <w:jc w:val="both"/>
              <w:rPr>
                <w:rFonts w:ascii="Arial" w:eastAsia="Times New Roman" w:hAnsi="Arial" w:cs="Arial"/>
                <w:iCs/>
                <w:noProof/>
                <w:lang w:val="mk-MK" w:eastAsia="en-GB"/>
              </w:rPr>
            </w:pPr>
            <w:r w:rsidRPr="001D50E3">
              <w:rPr>
                <w:rFonts w:ascii="Arial" w:eastAsia="Times New Roman" w:hAnsi="Arial" w:cs="Arial"/>
                <w:iCs/>
                <w:noProof/>
                <w:lang w:eastAsia="en-GB"/>
              </w:rPr>
              <w:t>079 Mbrojtja e natyrës dhe biodiversitetit, trashëgimia dhe burimet natyrore, infrastruktura jeshile dhe blu.</w:t>
            </w:r>
          </w:p>
        </w:tc>
        <w:tc>
          <w:tcPr>
            <w:tcW w:w="1985" w:type="dxa"/>
          </w:tcPr>
          <w:p w:rsidR="00FF2EC0" w:rsidRPr="001D50E3" w:rsidRDefault="00FF2EC0" w:rsidP="00754C28">
            <w:pPr>
              <w:spacing w:line="276" w:lineRule="auto"/>
              <w:rPr>
                <w:rFonts w:ascii="Arial" w:eastAsia="Times New Roman" w:hAnsi="Arial" w:cs="Arial"/>
                <w:iCs/>
                <w:noProof/>
                <w:lang w:eastAsia="en-GB"/>
              </w:rPr>
            </w:pPr>
            <w:r w:rsidRPr="001D50E3">
              <w:rPr>
                <w:rFonts w:ascii="Arial" w:eastAsia="Times New Roman" w:hAnsi="Arial" w:cs="Arial"/>
                <w:bCs/>
                <w:iCs/>
                <w:noProof/>
                <w:lang w:eastAsia="en-GB"/>
              </w:rPr>
              <w:t>2 026 575,29</w:t>
            </w:r>
          </w:p>
        </w:tc>
      </w:tr>
      <w:tr w:rsidR="00FF2EC0" w:rsidRPr="001D50E3" w:rsidTr="00754C28">
        <w:tc>
          <w:tcPr>
            <w:tcW w:w="1271" w:type="dxa"/>
          </w:tcPr>
          <w:p w:rsidR="00FF2EC0" w:rsidRPr="001D50E3" w:rsidRDefault="00FF2EC0" w:rsidP="00754C28">
            <w:pPr>
              <w:spacing w:line="276" w:lineRule="auto"/>
              <w:jc w:val="center"/>
              <w:rPr>
                <w:rFonts w:ascii="Arial" w:eastAsia="Times New Roman" w:hAnsi="Arial" w:cs="Arial"/>
                <w:iCs/>
                <w:noProof/>
                <w:lang w:eastAsia="en-GB"/>
              </w:rPr>
            </w:pPr>
            <w:r w:rsidRPr="001D50E3">
              <w:rPr>
                <w:rFonts w:ascii="Arial" w:eastAsia="Times New Roman" w:hAnsi="Arial" w:cs="Arial"/>
                <w:iCs/>
                <w:noProof/>
                <w:lang w:eastAsia="en-GB"/>
              </w:rPr>
              <w:t>1</w:t>
            </w:r>
          </w:p>
        </w:tc>
        <w:tc>
          <w:tcPr>
            <w:tcW w:w="1559" w:type="dxa"/>
          </w:tcPr>
          <w:p w:rsidR="00FF2EC0" w:rsidRPr="001D50E3" w:rsidRDefault="00FF2EC0" w:rsidP="00754C28">
            <w:pPr>
              <w:spacing w:line="276" w:lineRule="auto"/>
              <w:jc w:val="both"/>
              <w:rPr>
                <w:rFonts w:ascii="Arial" w:eastAsia="Times New Roman" w:hAnsi="Arial" w:cs="Arial"/>
                <w:iCs/>
                <w:noProof/>
                <w:lang w:eastAsia="en-GB"/>
              </w:rPr>
            </w:pPr>
            <w:r w:rsidRPr="001D50E3">
              <w:rPr>
                <w:rFonts w:ascii="Arial" w:eastAsia="Times New Roman" w:hAnsi="Arial" w:cs="Arial"/>
                <w:iCs/>
                <w:noProof/>
                <w:lang w:val="mk-MK" w:eastAsia="en-GB"/>
              </w:rPr>
              <w:t>Fondet e Unionit (EFRR dhe IPA)</w:t>
            </w:r>
          </w:p>
        </w:tc>
        <w:tc>
          <w:tcPr>
            <w:tcW w:w="1701" w:type="dxa"/>
          </w:tcPr>
          <w:p w:rsidR="00FF2EC0" w:rsidRPr="001D50E3" w:rsidRDefault="00FF2EC0" w:rsidP="00754C28">
            <w:pPr>
              <w:spacing w:line="276" w:lineRule="auto"/>
              <w:jc w:val="center"/>
              <w:rPr>
                <w:rFonts w:ascii="Arial" w:eastAsia="Times New Roman" w:hAnsi="Arial" w:cs="Arial"/>
                <w:iCs/>
                <w:noProof/>
                <w:lang w:eastAsia="en-GB"/>
              </w:rPr>
            </w:pPr>
            <w:r w:rsidRPr="001D50E3">
              <w:rPr>
                <w:rFonts w:ascii="Arial" w:eastAsia="Times New Roman" w:hAnsi="Arial" w:cs="Arial"/>
                <w:iCs/>
                <w:noProof/>
                <w:lang w:eastAsia="en-GB"/>
              </w:rPr>
              <w:t>1.1.</w:t>
            </w:r>
          </w:p>
        </w:tc>
        <w:tc>
          <w:tcPr>
            <w:tcW w:w="3402" w:type="dxa"/>
          </w:tcPr>
          <w:p w:rsidR="00FF2EC0" w:rsidRPr="001D50E3" w:rsidRDefault="00FF2EC0" w:rsidP="00754C28">
            <w:pPr>
              <w:spacing w:line="276" w:lineRule="auto"/>
              <w:jc w:val="both"/>
              <w:rPr>
                <w:rFonts w:ascii="Arial" w:eastAsia="Times New Roman" w:hAnsi="Arial" w:cs="Arial"/>
                <w:iCs/>
                <w:noProof/>
                <w:lang w:eastAsia="en-GB"/>
              </w:rPr>
            </w:pPr>
            <w:r w:rsidRPr="001D50E3">
              <w:rPr>
                <w:rFonts w:ascii="Arial" w:eastAsia="Times New Roman" w:hAnsi="Arial" w:cs="Arial"/>
                <w:iCs/>
                <w:noProof/>
                <w:lang w:eastAsia="en-GB"/>
              </w:rPr>
              <w:t>171 Përmirësimi i bashkëpunimit me partnerët brenda dhe jashtë Shtetit Anëtar.</w:t>
            </w:r>
          </w:p>
        </w:tc>
        <w:tc>
          <w:tcPr>
            <w:tcW w:w="1985" w:type="dxa"/>
          </w:tcPr>
          <w:p w:rsidR="00FF2EC0" w:rsidRPr="001D50E3" w:rsidRDefault="00FF2EC0" w:rsidP="00754C28">
            <w:pPr>
              <w:spacing w:line="276" w:lineRule="auto"/>
              <w:rPr>
                <w:rFonts w:ascii="Arial" w:eastAsia="Times New Roman" w:hAnsi="Arial" w:cs="Arial"/>
                <w:iCs/>
                <w:noProof/>
                <w:lang w:eastAsia="en-GB"/>
              </w:rPr>
            </w:pPr>
            <w:r w:rsidRPr="001D50E3">
              <w:rPr>
                <w:rFonts w:ascii="Arial" w:eastAsia="Times New Roman" w:hAnsi="Arial" w:cs="Arial"/>
                <w:bCs/>
                <w:iCs/>
                <w:noProof/>
                <w:lang w:eastAsia="en-GB"/>
              </w:rPr>
              <w:t>2 026 575,29</w:t>
            </w:r>
          </w:p>
        </w:tc>
      </w:tr>
    </w:tbl>
    <w:p w:rsidR="00FF2EC0" w:rsidRPr="001D50E3" w:rsidRDefault="00FF2EC0" w:rsidP="00754C28">
      <w:pPr>
        <w:spacing w:line="276" w:lineRule="auto"/>
        <w:rPr>
          <w:rFonts w:ascii="Arial" w:eastAsia="Times New Roman" w:hAnsi="Arial" w:cs="Arial"/>
          <w:iCs/>
          <w:noProof/>
          <w:lang w:val="en-US" w:eastAsia="en-GB"/>
        </w:rPr>
      </w:pPr>
    </w:p>
    <w:p w:rsidR="00FF2EC0" w:rsidRPr="001D50E3" w:rsidRDefault="00FF2EC0" w:rsidP="00754C28">
      <w:pPr>
        <w:pStyle w:val="HTMLPreformatted"/>
        <w:shd w:val="clear" w:color="auto" w:fill="F8F9FA"/>
        <w:spacing w:line="276" w:lineRule="auto"/>
        <w:rPr>
          <w:rFonts w:ascii="Arial" w:hAnsi="Arial" w:cs="Arial"/>
          <w:color w:val="202124"/>
          <w:sz w:val="22"/>
          <w:szCs w:val="22"/>
        </w:rPr>
      </w:pPr>
      <w:r w:rsidRPr="001D50E3">
        <w:rPr>
          <w:rStyle w:val="y2iqfc"/>
          <w:rFonts w:ascii="Arial" w:hAnsi="Arial" w:cs="Arial"/>
          <w:b/>
          <w:color w:val="202124"/>
          <w:sz w:val="22"/>
          <w:szCs w:val="22"/>
          <w:lang w:val="sq-AL"/>
        </w:rPr>
        <w:t>Tabela 5: Dimensioni 2 - mënyra e financimit</w:t>
      </w:r>
    </w:p>
    <w:p w:rsidR="00FF2EC0" w:rsidRPr="001D50E3" w:rsidRDefault="00FF2EC0" w:rsidP="00754C28">
      <w:pPr>
        <w:spacing w:line="276" w:lineRule="auto"/>
        <w:rPr>
          <w:rFonts w:ascii="Arial" w:eastAsia="Times New Roman" w:hAnsi="Arial" w:cs="Arial"/>
          <w:b/>
          <w:iCs/>
          <w:noProof/>
          <w:lang w:val="en-US" w:eastAsia="en-GB"/>
        </w:rPr>
      </w:pPr>
    </w:p>
    <w:tbl>
      <w:tblPr>
        <w:tblStyle w:val="TableGrid1"/>
        <w:tblW w:w="9918" w:type="dxa"/>
        <w:tblLook w:val="04A0" w:firstRow="1" w:lastRow="0" w:firstColumn="1" w:lastColumn="0" w:noHBand="0" w:noVBand="1"/>
      </w:tblPr>
      <w:tblGrid>
        <w:gridCol w:w="1870"/>
        <w:gridCol w:w="1657"/>
        <w:gridCol w:w="1898"/>
        <w:gridCol w:w="1204"/>
        <w:gridCol w:w="3289"/>
      </w:tblGrid>
      <w:tr w:rsidR="00FF2EC0" w:rsidRPr="001D50E3" w:rsidTr="00754C28">
        <w:tc>
          <w:tcPr>
            <w:tcW w:w="1870" w:type="dxa"/>
          </w:tcPr>
          <w:p w:rsidR="00FF2EC0" w:rsidRPr="001D50E3" w:rsidRDefault="00FF2EC0" w:rsidP="00754C28">
            <w:pPr>
              <w:spacing w:line="276" w:lineRule="auto"/>
              <w:rPr>
                <w:rFonts w:ascii="Arial" w:eastAsia="Times New Roman" w:hAnsi="Arial" w:cs="Arial"/>
                <w:b/>
                <w:iCs/>
                <w:noProof/>
                <w:lang w:val="en-US" w:eastAsia="en-GB"/>
              </w:rPr>
            </w:pPr>
            <w:r w:rsidRPr="001D50E3">
              <w:rPr>
                <w:rFonts w:ascii="Arial" w:eastAsia="Times New Roman" w:hAnsi="Arial" w:cs="Arial"/>
                <w:b/>
                <w:iCs/>
                <w:noProof/>
                <w:lang w:val="en-US" w:eastAsia="en-GB"/>
              </w:rPr>
              <w:t>Prioriteti nr:</w:t>
            </w:r>
          </w:p>
        </w:tc>
        <w:tc>
          <w:tcPr>
            <w:tcW w:w="1657" w:type="dxa"/>
          </w:tcPr>
          <w:p w:rsidR="00FF2EC0" w:rsidRPr="001D50E3" w:rsidRDefault="00FF2EC0" w:rsidP="00754C28">
            <w:pPr>
              <w:spacing w:line="276" w:lineRule="auto"/>
              <w:rPr>
                <w:rFonts w:ascii="Arial" w:eastAsia="Times New Roman" w:hAnsi="Arial" w:cs="Arial"/>
                <w:b/>
                <w:iCs/>
                <w:noProof/>
                <w:lang w:val="en-US" w:eastAsia="en-GB"/>
              </w:rPr>
            </w:pPr>
            <w:r w:rsidRPr="001D50E3">
              <w:rPr>
                <w:rFonts w:ascii="Arial" w:eastAsia="Times New Roman" w:hAnsi="Arial" w:cs="Arial"/>
                <w:b/>
                <w:iCs/>
                <w:noProof/>
                <w:lang w:val="en-US" w:eastAsia="en-GB"/>
              </w:rPr>
              <w:t>Fondi</w:t>
            </w:r>
          </w:p>
        </w:tc>
        <w:tc>
          <w:tcPr>
            <w:tcW w:w="1898" w:type="dxa"/>
          </w:tcPr>
          <w:p w:rsidR="00FF2EC0" w:rsidRPr="001D50E3" w:rsidRDefault="00FF2EC0" w:rsidP="00754C28">
            <w:pPr>
              <w:spacing w:line="276" w:lineRule="auto"/>
              <w:rPr>
                <w:rFonts w:ascii="Arial" w:eastAsia="Times New Roman" w:hAnsi="Arial" w:cs="Arial"/>
                <w:b/>
                <w:iCs/>
                <w:noProof/>
                <w:lang w:val="en-US" w:eastAsia="en-GB"/>
              </w:rPr>
            </w:pPr>
            <w:r w:rsidRPr="001D50E3">
              <w:rPr>
                <w:rFonts w:ascii="Arial" w:eastAsia="Times New Roman" w:hAnsi="Arial" w:cs="Arial"/>
                <w:b/>
                <w:iCs/>
                <w:noProof/>
                <w:lang w:val="en-US" w:eastAsia="en-GB"/>
              </w:rPr>
              <w:t>Qëllimi konkret</w:t>
            </w:r>
          </w:p>
        </w:tc>
        <w:tc>
          <w:tcPr>
            <w:tcW w:w="1204" w:type="dxa"/>
          </w:tcPr>
          <w:p w:rsidR="00FF2EC0" w:rsidRPr="001D50E3" w:rsidRDefault="00FF2EC0" w:rsidP="00754C28">
            <w:pPr>
              <w:spacing w:line="276" w:lineRule="auto"/>
              <w:rPr>
                <w:rFonts w:ascii="Arial" w:eastAsia="Times New Roman" w:hAnsi="Arial" w:cs="Arial"/>
                <w:b/>
                <w:iCs/>
                <w:noProof/>
                <w:lang w:val="en-US" w:eastAsia="en-GB"/>
              </w:rPr>
            </w:pPr>
            <w:r w:rsidRPr="001D50E3">
              <w:rPr>
                <w:rFonts w:ascii="Arial" w:eastAsia="Times New Roman" w:hAnsi="Arial" w:cs="Arial"/>
                <w:b/>
                <w:iCs/>
                <w:noProof/>
                <w:lang w:val="en-US" w:eastAsia="en-GB"/>
              </w:rPr>
              <w:t>Kodi</w:t>
            </w:r>
          </w:p>
        </w:tc>
        <w:tc>
          <w:tcPr>
            <w:tcW w:w="3289" w:type="dxa"/>
          </w:tcPr>
          <w:p w:rsidR="00FF2EC0" w:rsidRPr="001D50E3" w:rsidRDefault="00FF2EC0" w:rsidP="00754C28">
            <w:pPr>
              <w:spacing w:line="276" w:lineRule="auto"/>
              <w:rPr>
                <w:rFonts w:ascii="Arial" w:eastAsia="Times New Roman" w:hAnsi="Arial" w:cs="Arial"/>
                <w:b/>
                <w:iCs/>
                <w:noProof/>
                <w:lang w:val="en-US" w:eastAsia="en-GB"/>
              </w:rPr>
            </w:pPr>
            <w:r w:rsidRPr="001D50E3">
              <w:rPr>
                <w:rFonts w:ascii="Arial" w:eastAsia="Times New Roman" w:hAnsi="Arial" w:cs="Arial"/>
                <w:b/>
                <w:iCs/>
                <w:noProof/>
                <w:lang w:val="en-US" w:eastAsia="en-GB"/>
              </w:rPr>
              <w:t>Shuma 9 Euro)</w:t>
            </w:r>
          </w:p>
        </w:tc>
      </w:tr>
      <w:tr w:rsidR="00FF2EC0" w:rsidRPr="001D50E3" w:rsidTr="00754C28">
        <w:tc>
          <w:tcPr>
            <w:tcW w:w="1870" w:type="dxa"/>
            <w:vAlign w:val="center"/>
          </w:tcPr>
          <w:p w:rsidR="00FF2EC0" w:rsidRPr="001D50E3" w:rsidRDefault="00FF2EC0" w:rsidP="00754C28">
            <w:pPr>
              <w:spacing w:line="276" w:lineRule="auto"/>
              <w:jc w:val="center"/>
              <w:rPr>
                <w:rFonts w:ascii="Arial" w:eastAsia="Times New Roman" w:hAnsi="Arial" w:cs="Arial"/>
                <w:iCs/>
                <w:noProof/>
                <w:lang w:eastAsia="en-GB"/>
              </w:rPr>
            </w:pPr>
            <w:r w:rsidRPr="001D50E3">
              <w:rPr>
                <w:rFonts w:ascii="Arial" w:eastAsia="Times New Roman" w:hAnsi="Arial" w:cs="Arial"/>
                <w:iCs/>
                <w:noProof/>
                <w:lang w:eastAsia="en-GB"/>
              </w:rPr>
              <w:t>1</w:t>
            </w:r>
          </w:p>
        </w:tc>
        <w:tc>
          <w:tcPr>
            <w:tcW w:w="1657" w:type="dxa"/>
          </w:tcPr>
          <w:p w:rsidR="00FF2EC0" w:rsidRPr="001D50E3" w:rsidRDefault="00FF2EC0" w:rsidP="00754C28">
            <w:pPr>
              <w:spacing w:line="276" w:lineRule="auto"/>
              <w:jc w:val="both"/>
              <w:rPr>
                <w:rFonts w:ascii="Arial" w:eastAsia="Times New Roman" w:hAnsi="Arial" w:cs="Arial"/>
                <w:iCs/>
                <w:noProof/>
                <w:lang w:eastAsia="en-GB"/>
              </w:rPr>
            </w:pPr>
            <w:r w:rsidRPr="001D50E3">
              <w:rPr>
                <w:rFonts w:ascii="Arial" w:eastAsia="Times New Roman" w:hAnsi="Arial" w:cs="Arial"/>
                <w:iCs/>
                <w:noProof/>
                <w:lang w:val="mk-MK" w:eastAsia="en-GB"/>
              </w:rPr>
              <w:t>Fondet e Unionit (EFRR dhe IPA)</w:t>
            </w:r>
          </w:p>
        </w:tc>
        <w:tc>
          <w:tcPr>
            <w:tcW w:w="1898" w:type="dxa"/>
            <w:vAlign w:val="center"/>
          </w:tcPr>
          <w:p w:rsidR="00FF2EC0" w:rsidRPr="001D50E3" w:rsidRDefault="00FF2EC0" w:rsidP="00754C28">
            <w:pPr>
              <w:spacing w:line="276" w:lineRule="auto"/>
              <w:jc w:val="center"/>
              <w:rPr>
                <w:rFonts w:ascii="Arial" w:eastAsia="Times New Roman" w:hAnsi="Arial" w:cs="Arial"/>
                <w:iCs/>
                <w:noProof/>
                <w:lang w:eastAsia="en-GB"/>
              </w:rPr>
            </w:pPr>
            <w:r w:rsidRPr="001D50E3">
              <w:rPr>
                <w:rFonts w:ascii="Arial" w:eastAsia="Times New Roman" w:hAnsi="Arial" w:cs="Arial"/>
                <w:iCs/>
                <w:noProof/>
                <w:lang w:eastAsia="en-GB"/>
              </w:rPr>
              <w:t>1.1.</w:t>
            </w:r>
          </w:p>
        </w:tc>
        <w:tc>
          <w:tcPr>
            <w:tcW w:w="1204" w:type="dxa"/>
            <w:vAlign w:val="center"/>
          </w:tcPr>
          <w:p w:rsidR="00FF2EC0" w:rsidRPr="001D50E3" w:rsidRDefault="00FF2EC0" w:rsidP="00754C28">
            <w:pPr>
              <w:spacing w:line="276" w:lineRule="auto"/>
              <w:jc w:val="center"/>
              <w:rPr>
                <w:rFonts w:ascii="Arial" w:eastAsia="Times New Roman" w:hAnsi="Arial" w:cs="Arial"/>
                <w:iCs/>
                <w:noProof/>
                <w:lang w:val="en-US" w:eastAsia="en-GB"/>
              </w:rPr>
            </w:pPr>
            <w:r w:rsidRPr="001D50E3">
              <w:rPr>
                <w:rFonts w:ascii="Arial" w:eastAsia="Times New Roman" w:hAnsi="Arial" w:cs="Arial"/>
                <w:iCs/>
                <w:noProof/>
                <w:lang w:eastAsia="en-GB"/>
              </w:rPr>
              <w:t xml:space="preserve">01 </w:t>
            </w:r>
            <w:r w:rsidRPr="001D50E3">
              <w:rPr>
                <w:rFonts w:ascii="Arial" w:eastAsia="Times New Roman" w:hAnsi="Arial" w:cs="Arial"/>
                <w:iCs/>
                <w:noProof/>
                <w:lang w:val="en-US" w:eastAsia="en-GB"/>
              </w:rPr>
              <w:t>Grant</w:t>
            </w:r>
          </w:p>
        </w:tc>
        <w:tc>
          <w:tcPr>
            <w:tcW w:w="3289" w:type="dxa"/>
            <w:vAlign w:val="center"/>
          </w:tcPr>
          <w:p w:rsidR="00FF2EC0" w:rsidRPr="001D50E3" w:rsidRDefault="00FF2EC0" w:rsidP="00754C28">
            <w:pPr>
              <w:spacing w:line="276" w:lineRule="auto"/>
              <w:jc w:val="center"/>
              <w:rPr>
                <w:rFonts w:ascii="Arial" w:eastAsia="Times New Roman" w:hAnsi="Arial" w:cs="Arial"/>
                <w:bCs/>
                <w:iCs/>
                <w:noProof/>
                <w:lang w:val="en-US" w:eastAsia="en-GB"/>
              </w:rPr>
            </w:pPr>
            <w:r w:rsidRPr="001D50E3">
              <w:rPr>
                <w:rFonts w:ascii="Arial" w:eastAsia="Times New Roman" w:hAnsi="Arial" w:cs="Arial"/>
                <w:bCs/>
                <w:iCs/>
                <w:noProof/>
                <w:lang w:eastAsia="en-GB"/>
              </w:rPr>
              <w:t>4 053 150,58</w:t>
            </w:r>
          </w:p>
          <w:p w:rsidR="00FF2EC0" w:rsidRPr="001D50E3" w:rsidRDefault="00FF2EC0" w:rsidP="00754C28">
            <w:pPr>
              <w:spacing w:line="276" w:lineRule="auto"/>
              <w:jc w:val="center"/>
              <w:rPr>
                <w:rFonts w:ascii="Arial" w:eastAsia="Times New Roman" w:hAnsi="Arial" w:cs="Arial"/>
                <w:iCs/>
                <w:noProof/>
                <w:lang w:eastAsia="en-GB"/>
              </w:rPr>
            </w:pPr>
          </w:p>
        </w:tc>
      </w:tr>
    </w:tbl>
    <w:p w:rsidR="00FF2EC0" w:rsidRPr="001D50E3" w:rsidRDefault="00FF2EC0" w:rsidP="00754C28">
      <w:pPr>
        <w:spacing w:line="276" w:lineRule="auto"/>
        <w:jc w:val="center"/>
        <w:rPr>
          <w:rFonts w:ascii="Arial" w:eastAsia="Times New Roman" w:hAnsi="Arial" w:cs="Arial"/>
          <w:iCs/>
          <w:noProof/>
          <w:lang w:val="en-US" w:eastAsia="en-GB"/>
        </w:rPr>
      </w:pPr>
    </w:p>
    <w:p w:rsidR="00FF2EC0" w:rsidRPr="001D50E3" w:rsidRDefault="00FF2EC0" w:rsidP="00754C28">
      <w:pPr>
        <w:pStyle w:val="HTMLPreformatted"/>
        <w:shd w:val="clear" w:color="auto" w:fill="F8F9FA"/>
        <w:spacing w:line="276" w:lineRule="auto"/>
        <w:rPr>
          <w:rFonts w:ascii="Arial" w:hAnsi="Arial" w:cs="Arial"/>
          <w:b/>
          <w:color w:val="202124"/>
          <w:sz w:val="22"/>
          <w:szCs w:val="22"/>
        </w:rPr>
      </w:pPr>
      <w:r w:rsidRPr="001D50E3">
        <w:rPr>
          <w:rStyle w:val="y2iqfc"/>
          <w:rFonts w:ascii="Arial" w:hAnsi="Arial" w:cs="Arial"/>
          <w:b/>
          <w:color w:val="202124"/>
          <w:sz w:val="22"/>
          <w:szCs w:val="22"/>
          <w:lang w:val="sq-AL"/>
        </w:rPr>
        <w:t>Tabela 6: Dimensioni 3 - Mekanizmi i Ofrimit Territorial dhe Fokusi Territorial</w:t>
      </w:r>
    </w:p>
    <w:p w:rsidR="00FF2EC0" w:rsidRPr="001D50E3" w:rsidRDefault="00FF2EC0" w:rsidP="00754C28">
      <w:pPr>
        <w:spacing w:line="276" w:lineRule="auto"/>
        <w:jc w:val="center"/>
        <w:rPr>
          <w:rFonts w:ascii="Arial" w:eastAsia="Times New Roman" w:hAnsi="Arial" w:cs="Arial"/>
          <w:b/>
          <w:iCs/>
          <w:noProof/>
          <w:lang w:val="en-US" w:eastAsia="en-GB"/>
        </w:rPr>
      </w:pPr>
    </w:p>
    <w:tbl>
      <w:tblPr>
        <w:tblStyle w:val="TableGrid1"/>
        <w:tblW w:w="9918" w:type="dxa"/>
        <w:tblLook w:val="04A0" w:firstRow="1" w:lastRow="0" w:firstColumn="1" w:lastColumn="0" w:noHBand="0" w:noVBand="1"/>
      </w:tblPr>
      <w:tblGrid>
        <w:gridCol w:w="1796"/>
        <w:gridCol w:w="1591"/>
        <w:gridCol w:w="1828"/>
        <w:gridCol w:w="2718"/>
        <w:gridCol w:w="1985"/>
      </w:tblGrid>
      <w:tr w:rsidR="00FF2EC0" w:rsidRPr="001D50E3" w:rsidTr="00754C28">
        <w:tc>
          <w:tcPr>
            <w:tcW w:w="1796" w:type="dxa"/>
          </w:tcPr>
          <w:p w:rsidR="00FF2EC0" w:rsidRPr="001D50E3" w:rsidRDefault="00FF2EC0" w:rsidP="00754C28">
            <w:pPr>
              <w:spacing w:line="276" w:lineRule="auto"/>
              <w:rPr>
                <w:rFonts w:ascii="Arial" w:eastAsia="Times New Roman" w:hAnsi="Arial" w:cs="Arial"/>
                <w:b/>
                <w:iCs/>
                <w:noProof/>
                <w:lang w:val="en-US" w:eastAsia="en-GB"/>
              </w:rPr>
            </w:pPr>
            <w:r w:rsidRPr="001D50E3">
              <w:rPr>
                <w:rFonts w:ascii="Arial" w:eastAsia="Times New Roman" w:hAnsi="Arial" w:cs="Arial"/>
                <w:b/>
                <w:iCs/>
                <w:noProof/>
                <w:lang w:val="en-US" w:eastAsia="en-GB"/>
              </w:rPr>
              <w:t>Prioriteti nr.</w:t>
            </w:r>
          </w:p>
        </w:tc>
        <w:tc>
          <w:tcPr>
            <w:tcW w:w="1591" w:type="dxa"/>
          </w:tcPr>
          <w:p w:rsidR="00FF2EC0" w:rsidRPr="001D50E3" w:rsidRDefault="00FF2EC0" w:rsidP="00754C28">
            <w:pPr>
              <w:spacing w:line="276" w:lineRule="auto"/>
              <w:rPr>
                <w:rFonts w:ascii="Arial" w:eastAsia="Times New Roman" w:hAnsi="Arial" w:cs="Arial"/>
                <w:b/>
                <w:iCs/>
                <w:noProof/>
                <w:lang w:val="en-US" w:eastAsia="en-GB"/>
              </w:rPr>
            </w:pPr>
            <w:r w:rsidRPr="001D50E3">
              <w:rPr>
                <w:rFonts w:ascii="Arial" w:eastAsia="Times New Roman" w:hAnsi="Arial" w:cs="Arial"/>
                <w:b/>
                <w:iCs/>
                <w:noProof/>
                <w:lang w:val="en-US" w:eastAsia="en-GB"/>
              </w:rPr>
              <w:t>Fondi</w:t>
            </w:r>
          </w:p>
        </w:tc>
        <w:tc>
          <w:tcPr>
            <w:tcW w:w="1828" w:type="dxa"/>
          </w:tcPr>
          <w:p w:rsidR="00FF2EC0" w:rsidRPr="001D50E3" w:rsidRDefault="00FF2EC0" w:rsidP="00754C28">
            <w:pPr>
              <w:spacing w:line="276" w:lineRule="auto"/>
              <w:rPr>
                <w:rFonts w:ascii="Arial" w:eastAsia="Times New Roman" w:hAnsi="Arial" w:cs="Arial"/>
                <w:b/>
                <w:iCs/>
                <w:noProof/>
                <w:lang w:val="en-US" w:eastAsia="en-GB"/>
              </w:rPr>
            </w:pPr>
            <w:r w:rsidRPr="001D50E3">
              <w:rPr>
                <w:rFonts w:ascii="Arial" w:eastAsia="Times New Roman" w:hAnsi="Arial" w:cs="Arial"/>
                <w:b/>
                <w:iCs/>
                <w:noProof/>
                <w:lang w:val="en-US" w:eastAsia="en-GB"/>
              </w:rPr>
              <w:t>Qëllimi specifik</w:t>
            </w:r>
          </w:p>
        </w:tc>
        <w:tc>
          <w:tcPr>
            <w:tcW w:w="2718" w:type="dxa"/>
          </w:tcPr>
          <w:p w:rsidR="00FF2EC0" w:rsidRPr="001D50E3" w:rsidRDefault="00FF2EC0" w:rsidP="00754C28">
            <w:pPr>
              <w:spacing w:line="276" w:lineRule="auto"/>
              <w:rPr>
                <w:rFonts w:ascii="Arial" w:eastAsia="Times New Roman" w:hAnsi="Arial" w:cs="Arial"/>
                <w:b/>
                <w:iCs/>
                <w:noProof/>
                <w:lang w:eastAsia="en-GB"/>
              </w:rPr>
            </w:pPr>
            <w:r w:rsidRPr="001D50E3">
              <w:rPr>
                <w:rFonts w:ascii="Arial" w:eastAsia="Times New Roman" w:hAnsi="Arial" w:cs="Arial"/>
                <w:b/>
                <w:iCs/>
                <w:noProof/>
                <w:lang w:val="en-US" w:eastAsia="en-GB"/>
              </w:rPr>
              <w:t>Kodi</w:t>
            </w:r>
            <w:r w:rsidRPr="001D50E3">
              <w:rPr>
                <w:rFonts w:ascii="Arial" w:eastAsia="Times New Roman" w:hAnsi="Arial" w:cs="Arial"/>
                <w:b/>
                <w:iCs/>
                <w:noProof/>
                <w:lang w:eastAsia="en-GB"/>
              </w:rPr>
              <w:t xml:space="preserve"> </w:t>
            </w:r>
          </w:p>
        </w:tc>
        <w:tc>
          <w:tcPr>
            <w:tcW w:w="1985" w:type="dxa"/>
          </w:tcPr>
          <w:p w:rsidR="00FF2EC0" w:rsidRPr="001D50E3" w:rsidRDefault="00FF2EC0" w:rsidP="00754C28">
            <w:pPr>
              <w:spacing w:line="276" w:lineRule="auto"/>
              <w:rPr>
                <w:rFonts w:ascii="Arial" w:eastAsia="Times New Roman" w:hAnsi="Arial" w:cs="Arial"/>
                <w:b/>
                <w:iCs/>
                <w:noProof/>
                <w:lang w:eastAsia="en-GB"/>
              </w:rPr>
            </w:pPr>
            <w:r w:rsidRPr="001D50E3">
              <w:rPr>
                <w:rFonts w:ascii="Arial" w:eastAsia="Times New Roman" w:hAnsi="Arial" w:cs="Arial"/>
                <w:b/>
                <w:iCs/>
                <w:noProof/>
                <w:lang w:val="en-US" w:eastAsia="en-GB"/>
              </w:rPr>
              <w:t>Shuma</w:t>
            </w:r>
            <w:r w:rsidRPr="001D50E3">
              <w:rPr>
                <w:rFonts w:ascii="Arial" w:eastAsia="Times New Roman" w:hAnsi="Arial" w:cs="Arial"/>
                <w:b/>
                <w:iCs/>
                <w:noProof/>
                <w:lang w:eastAsia="en-GB"/>
              </w:rPr>
              <w:t xml:space="preserve"> (</w:t>
            </w:r>
            <w:r w:rsidRPr="001D50E3">
              <w:rPr>
                <w:rFonts w:ascii="Arial" w:eastAsia="Times New Roman" w:hAnsi="Arial" w:cs="Arial"/>
                <w:b/>
                <w:iCs/>
                <w:noProof/>
                <w:lang w:val="en-US" w:eastAsia="en-GB"/>
              </w:rPr>
              <w:t>Euro</w:t>
            </w:r>
            <w:r w:rsidRPr="001D50E3">
              <w:rPr>
                <w:rFonts w:ascii="Arial" w:eastAsia="Times New Roman" w:hAnsi="Arial" w:cs="Arial"/>
                <w:b/>
                <w:iCs/>
                <w:noProof/>
                <w:lang w:eastAsia="en-GB"/>
              </w:rPr>
              <w:t>)</w:t>
            </w:r>
          </w:p>
        </w:tc>
      </w:tr>
      <w:tr w:rsidR="00FF2EC0" w:rsidRPr="001D50E3" w:rsidTr="00754C28">
        <w:tc>
          <w:tcPr>
            <w:tcW w:w="1796" w:type="dxa"/>
          </w:tcPr>
          <w:p w:rsidR="00FF2EC0" w:rsidRPr="001D50E3" w:rsidRDefault="00FF2EC0" w:rsidP="00754C28">
            <w:pPr>
              <w:spacing w:line="276" w:lineRule="auto"/>
              <w:rPr>
                <w:rFonts w:ascii="Arial" w:eastAsia="Times New Roman" w:hAnsi="Arial" w:cs="Arial"/>
                <w:iCs/>
                <w:noProof/>
                <w:lang w:eastAsia="en-GB"/>
              </w:rPr>
            </w:pPr>
            <w:r w:rsidRPr="001D50E3">
              <w:rPr>
                <w:rFonts w:ascii="Arial" w:eastAsia="Times New Roman" w:hAnsi="Arial" w:cs="Arial"/>
                <w:iCs/>
                <w:noProof/>
                <w:lang w:eastAsia="en-GB"/>
              </w:rPr>
              <w:lastRenderedPageBreak/>
              <w:t>1</w:t>
            </w:r>
          </w:p>
        </w:tc>
        <w:tc>
          <w:tcPr>
            <w:tcW w:w="1591" w:type="dxa"/>
            <w:vAlign w:val="center"/>
          </w:tcPr>
          <w:p w:rsidR="00FF2EC0" w:rsidRPr="001D50E3" w:rsidRDefault="00FF2EC0" w:rsidP="00754C28">
            <w:pPr>
              <w:spacing w:line="276" w:lineRule="auto"/>
              <w:rPr>
                <w:rFonts w:ascii="Arial" w:eastAsia="Times New Roman" w:hAnsi="Arial" w:cs="Arial"/>
                <w:iCs/>
                <w:noProof/>
                <w:lang w:eastAsia="en-GB"/>
              </w:rPr>
            </w:pPr>
            <w:r w:rsidRPr="001D50E3">
              <w:rPr>
                <w:rFonts w:ascii="Arial" w:eastAsia="Times New Roman" w:hAnsi="Arial" w:cs="Arial"/>
                <w:iCs/>
                <w:noProof/>
                <w:lang w:val="mk-MK" w:eastAsia="en-GB"/>
              </w:rPr>
              <w:t>Fondet e Unionit (EFRR dhe IPA)</w:t>
            </w:r>
          </w:p>
        </w:tc>
        <w:tc>
          <w:tcPr>
            <w:tcW w:w="1828" w:type="dxa"/>
          </w:tcPr>
          <w:p w:rsidR="00FF2EC0" w:rsidRPr="001D50E3" w:rsidRDefault="00FF2EC0" w:rsidP="00754C28">
            <w:pPr>
              <w:spacing w:line="276" w:lineRule="auto"/>
              <w:jc w:val="center"/>
              <w:rPr>
                <w:rFonts w:ascii="Arial" w:eastAsia="Times New Roman" w:hAnsi="Arial" w:cs="Arial"/>
                <w:iCs/>
                <w:noProof/>
                <w:lang w:eastAsia="en-GB"/>
              </w:rPr>
            </w:pPr>
            <w:r w:rsidRPr="001D50E3">
              <w:rPr>
                <w:rFonts w:ascii="Arial" w:eastAsia="Times New Roman" w:hAnsi="Arial" w:cs="Arial"/>
                <w:iCs/>
                <w:noProof/>
                <w:lang w:eastAsia="en-GB"/>
              </w:rPr>
              <w:t>1.1.</w:t>
            </w:r>
          </w:p>
        </w:tc>
        <w:tc>
          <w:tcPr>
            <w:tcW w:w="2718" w:type="dxa"/>
            <w:vAlign w:val="center"/>
          </w:tcPr>
          <w:p w:rsidR="00FF2EC0" w:rsidRPr="001D50E3" w:rsidRDefault="00FF2EC0" w:rsidP="00754C28">
            <w:pPr>
              <w:spacing w:line="276" w:lineRule="auto"/>
              <w:rPr>
                <w:rFonts w:ascii="Arial" w:eastAsia="Times New Roman" w:hAnsi="Arial" w:cs="Arial"/>
                <w:iCs/>
                <w:noProof/>
                <w:lang w:val="en-US" w:eastAsia="en-GB"/>
              </w:rPr>
            </w:pPr>
            <w:r w:rsidRPr="001D50E3">
              <w:rPr>
                <w:rFonts w:ascii="Arial" w:eastAsia="Times New Roman" w:hAnsi="Arial" w:cs="Arial"/>
                <w:iCs/>
                <w:noProof/>
                <w:lang w:eastAsia="en-GB"/>
              </w:rPr>
              <w:t xml:space="preserve">17 </w:t>
            </w:r>
            <w:r w:rsidRPr="001D50E3">
              <w:rPr>
                <w:rFonts w:ascii="Arial" w:eastAsia="Times New Roman" w:hAnsi="Arial" w:cs="Arial"/>
                <w:iCs/>
                <w:noProof/>
                <w:lang w:val="en-US" w:eastAsia="en-GB"/>
              </w:rPr>
              <w:t>Lagje Urbane</w:t>
            </w:r>
          </w:p>
        </w:tc>
        <w:tc>
          <w:tcPr>
            <w:tcW w:w="1985" w:type="dxa"/>
          </w:tcPr>
          <w:p w:rsidR="00FF2EC0" w:rsidRPr="001D50E3" w:rsidRDefault="00FF2EC0" w:rsidP="00754C28">
            <w:pPr>
              <w:spacing w:line="276" w:lineRule="auto"/>
              <w:rPr>
                <w:rFonts w:ascii="Arial" w:eastAsia="Times New Roman" w:hAnsi="Arial" w:cs="Arial"/>
                <w:iCs/>
                <w:noProof/>
                <w:lang w:eastAsia="en-GB"/>
              </w:rPr>
            </w:pPr>
          </w:p>
        </w:tc>
      </w:tr>
      <w:tr w:rsidR="00FF2EC0" w:rsidRPr="001D50E3" w:rsidTr="00754C28">
        <w:tc>
          <w:tcPr>
            <w:tcW w:w="1796" w:type="dxa"/>
          </w:tcPr>
          <w:p w:rsidR="00FF2EC0" w:rsidRPr="001D50E3" w:rsidRDefault="00FF2EC0" w:rsidP="00754C28">
            <w:pPr>
              <w:spacing w:line="276" w:lineRule="auto"/>
              <w:rPr>
                <w:rFonts w:ascii="Arial" w:eastAsia="Times New Roman" w:hAnsi="Arial" w:cs="Arial"/>
                <w:iCs/>
                <w:noProof/>
                <w:lang w:eastAsia="en-GB"/>
              </w:rPr>
            </w:pPr>
            <w:r w:rsidRPr="001D50E3">
              <w:rPr>
                <w:rFonts w:ascii="Arial" w:eastAsia="Times New Roman" w:hAnsi="Arial" w:cs="Arial"/>
                <w:iCs/>
                <w:noProof/>
                <w:lang w:eastAsia="en-GB"/>
              </w:rPr>
              <w:t>1</w:t>
            </w:r>
          </w:p>
        </w:tc>
        <w:tc>
          <w:tcPr>
            <w:tcW w:w="1591" w:type="dxa"/>
            <w:vAlign w:val="center"/>
          </w:tcPr>
          <w:p w:rsidR="00FF2EC0" w:rsidRPr="001D50E3" w:rsidRDefault="00FF2EC0" w:rsidP="00754C28">
            <w:pPr>
              <w:spacing w:line="276" w:lineRule="auto"/>
              <w:rPr>
                <w:rFonts w:ascii="Arial" w:eastAsia="Times New Roman" w:hAnsi="Arial" w:cs="Arial"/>
                <w:iCs/>
                <w:noProof/>
                <w:lang w:eastAsia="en-GB"/>
              </w:rPr>
            </w:pPr>
            <w:r w:rsidRPr="001D50E3">
              <w:rPr>
                <w:rFonts w:ascii="Arial" w:eastAsia="Times New Roman" w:hAnsi="Arial" w:cs="Arial"/>
                <w:iCs/>
                <w:noProof/>
                <w:lang w:val="mk-MK" w:eastAsia="en-GB"/>
              </w:rPr>
              <w:t>Fondet e Unionit (EFRR dhe IPA)</w:t>
            </w:r>
          </w:p>
        </w:tc>
        <w:tc>
          <w:tcPr>
            <w:tcW w:w="1828" w:type="dxa"/>
          </w:tcPr>
          <w:p w:rsidR="00FF2EC0" w:rsidRPr="001D50E3" w:rsidRDefault="00FF2EC0" w:rsidP="00754C28">
            <w:pPr>
              <w:spacing w:line="276" w:lineRule="auto"/>
              <w:jc w:val="center"/>
              <w:rPr>
                <w:rFonts w:ascii="Arial" w:eastAsia="Times New Roman" w:hAnsi="Arial" w:cs="Arial"/>
                <w:iCs/>
                <w:noProof/>
                <w:lang w:eastAsia="en-GB"/>
              </w:rPr>
            </w:pPr>
            <w:r w:rsidRPr="001D50E3">
              <w:rPr>
                <w:rFonts w:ascii="Arial" w:eastAsia="Times New Roman" w:hAnsi="Arial" w:cs="Arial"/>
                <w:iCs/>
                <w:noProof/>
                <w:lang w:eastAsia="en-GB"/>
              </w:rPr>
              <w:t>1.1.</w:t>
            </w:r>
          </w:p>
        </w:tc>
        <w:tc>
          <w:tcPr>
            <w:tcW w:w="2718" w:type="dxa"/>
            <w:vAlign w:val="center"/>
          </w:tcPr>
          <w:p w:rsidR="00FF2EC0" w:rsidRPr="001D50E3" w:rsidRDefault="00FF2EC0" w:rsidP="00754C28">
            <w:pPr>
              <w:spacing w:line="276" w:lineRule="auto"/>
              <w:rPr>
                <w:rFonts w:ascii="Arial" w:eastAsia="Times New Roman" w:hAnsi="Arial" w:cs="Arial"/>
                <w:iCs/>
                <w:noProof/>
                <w:lang w:val="mk-MK" w:eastAsia="en-GB"/>
              </w:rPr>
            </w:pPr>
            <w:r w:rsidRPr="001D50E3">
              <w:rPr>
                <w:rFonts w:ascii="Arial" w:eastAsia="Times New Roman" w:hAnsi="Arial" w:cs="Arial"/>
                <w:iCs/>
                <w:noProof/>
                <w:lang w:eastAsia="en-GB"/>
              </w:rPr>
              <w:t xml:space="preserve">18 </w:t>
            </w:r>
            <w:r w:rsidRPr="001D50E3">
              <w:rPr>
                <w:rFonts w:ascii="Arial" w:eastAsia="Times New Roman" w:hAnsi="Arial" w:cs="Arial"/>
                <w:iCs/>
                <w:noProof/>
                <w:lang w:val="mk-MK" w:eastAsia="en-GB"/>
              </w:rPr>
              <w:t>Qytetet e mëdha dhe të vogla, periferi</w:t>
            </w:r>
          </w:p>
        </w:tc>
        <w:tc>
          <w:tcPr>
            <w:tcW w:w="1985" w:type="dxa"/>
          </w:tcPr>
          <w:p w:rsidR="00FF2EC0" w:rsidRPr="001D50E3" w:rsidRDefault="00FF2EC0" w:rsidP="00754C28">
            <w:pPr>
              <w:spacing w:line="276" w:lineRule="auto"/>
              <w:rPr>
                <w:rFonts w:ascii="Arial" w:eastAsia="Times New Roman" w:hAnsi="Arial" w:cs="Arial"/>
                <w:iCs/>
                <w:noProof/>
                <w:lang w:eastAsia="en-GB"/>
              </w:rPr>
            </w:pPr>
          </w:p>
        </w:tc>
      </w:tr>
      <w:tr w:rsidR="00FF2EC0" w:rsidRPr="001D50E3" w:rsidTr="00754C28">
        <w:tc>
          <w:tcPr>
            <w:tcW w:w="1796" w:type="dxa"/>
          </w:tcPr>
          <w:p w:rsidR="00FF2EC0" w:rsidRPr="001D50E3" w:rsidRDefault="00FF2EC0" w:rsidP="00754C28">
            <w:pPr>
              <w:spacing w:line="276" w:lineRule="auto"/>
              <w:rPr>
                <w:rFonts w:ascii="Arial" w:eastAsia="Times New Roman" w:hAnsi="Arial" w:cs="Arial"/>
                <w:iCs/>
                <w:noProof/>
                <w:lang w:eastAsia="en-GB"/>
              </w:rPr>
            </w:pPr>
            <w:r w:rsidRPr="001D50E3">
              <w:rPr>
                <w:rFonts w:ascii="Arial" w:eastAsia="Times New Roman" w:hAnsi="Arial" w:cs="Arial"/>
                <w:iCs/>
                <w:noProof/>
                <w:lang w:eastAsia="en-GB"/>
              </w:rPr>
              <w:t>1</w:t>
            </w:r>
          </w:p>
        </w:tc>
        <w:tc>
          <w:tcPr>
            <w:tcW w:w="1591" w:type="dxa"/>
            <w:vAlign w:val="center"/>
          </w:tcPr>
          <w:p w:rsidR="00FF2EC0" w:rsidRPr="001D50E3" w:rsidRDefault="00FF2EC0" w:rsidP="00754C28">
            <w:pPr>
              <w:spacing w:line="276" w:lineRule="auto"/>
              <w:rPr>
                <w:rFonts w:ascii="Arial" w:eastAsia="Times New Roman" w:hAnsi="Arial" w:cs="Arial"/>
                <w:iCs/>
                <w:noProof/>
                <w:lang w:eastAsia="en-GB"/>
              </w:rPr>
            </w:pPr>
            <w:r w:rsidRPr="001D50E3">
              <w:rPr>
                <w:rFonts w:ascii="Arial" w:eastAsia="Times New Roman" w:hAnsi="Arial" w:cs="Arial"/>
                <w:iCs/>
                <w:noProof/>
                <w:lang w:val="mk-MK" w:eastAsia="en-GB"/>
              </w:rPr>
              <w:t>Fondet e Unionit (EFRR dhe IPA)</w:t>
            </w:r>
          </w:p>
        </w:tc>
        <w:tc>
          <w:tcPr>
            <w:tcW w:w="1828" w:type="dxa"/>
          </w:tcPr>
          <w:p w:rsidR="00FF2EC0" w:rsidRPr="001D50E3" w:rsidRDefault="00FF2EC0" w:rsidP="00754C28">
            <w:pPr>
              <w:spacing w:line="276" w:lineRule="auto"/>
              <w:jc w:val="center"/>
              <w:rPr>
                <w:rFonts w:ascii="Arial" w:eastAsia="Times New Roman" w:hAnsi="Arial" w:cs="Arial"/>
                <w:iCs/>
                <w:noProof/>
                <w:lang w:eastAsia="en-GB"/>
              </w:rPr>
            </w:pPr>
            <w:r w:rsidRPr="001D50E3">
              <w:rPr>
                <w:rFonts w:ascii="Arial" w:eastAsia="Times New Roman" w:hAnsi="Arial" w:cs="Arial"/>
                <w:iCs/>
                <w:noProof/>
                <w:lang w:eastAsia="en-GB"/>
              </w:rPr>
              <w:t>1.1.</w:t>
            </w:r>
          </w:p>
        </w:tc>
        <w:tc>
          <w:tcPr>
            <w:tcW w:w="2718" w:type="dxa"/>
            <w:vAlign w:val="center"/>
          </w:tcPr>
          <w:p w:rsidR="00FF2EC0" w:rsidRPr="001D50E3" w:rsidRDefault="00FF2EC0" w:rsidP="00754C28">
            <w:pPr>
              <w:spacing w:line="276" w:lineRule="auto"/>
              <w:rPr>
                <w:rFonts w:ascii="Arial" w:eastAsia="Times New Roman" w:hAnsi="Arial" w:cs="Arial"/>
                <w:iCs/>
                <w:noProof/>
                <w:lang w:val="mk-MK" w:eastAsia="en-GB"/>
              </w:rPr>
            </w:pPr>
            <w:r w:rsidRPr="001D50E3">
              <w:rPr>
                <w:rFonts w:ascii="Arial" w:eastAsia="Times New Roman" w:hAnsi="Arial" w:cs="Arial"/>
                <w:iCs/>
                <w:noProof/>
                <w:lang w:eastAsia="en-GB"/>
              </w:rPr>
              <w:t>19</w:t>
            </w:r>
            <w:r w:rsidRPr="001D50E3">
              <w:rPr>
                <w:rFonts w:ascii="Arial" w:eastAsia="Times New Roman" w:hAnsi="Arial" w:cs="Arial"/>
                <w:iCs/>
                <w:noProof/>
                <w:lang w:val="mk-MK" w:eastAsia="en-GB"/>
              </w:rPr>
              <w:t xml:space="preserve"> Mjedise urbane funksionale</w:t>
            </w:r>
          </w:p>
        </w:tc>
        <w:tc>
          <w:tcPr>
            <w:tcW w:w="1985" w:type="dxa"/>
          </w:tcPr>
          <w:p w:rsidR="00FF2EC0" w:rsidRPr="001D50E3" w:rsidRDefault="00FF2EC0" w:rsidP="00754C28">
            <w:pPr>
              <w:spacing w:line="276" w:lineRule="auto"/>
              <w:rPr>
                <w:rFonts w:ascii="Arial" w:eastAsia="Times New Roman" w:hAnsi="Arial" w:cs="Arial"/>
                <w:iCs/>
                <w:noProof/>
                <w:lang w:eastAsia="en-GB"/>
              </w:rPr>
            </w:pPr>
          </w:p>
        </w:tc>
      </w:tr>
    </w:tbl>
    <w:p w:rsidR="00FF2EC0" w:rsidRPr="00754C28" w:rsidRDefault="00FF2EC0" w:rsidP="00754C28">
      <w:pPr>
        <w:spacing w:line="276" w:lineRule="auto"/>
        <w:rPr>
          <w:rFonts w:ascii="Arial" w:hAnsi="Arial" w:cs="Arial"/>
          <w:lang w:val="mk-MK"/>
        </w:rPr>
      </w:pPr>
    </w:p>
    <w:p w:rsidR="00FF2EC0" w:rsidRPr="001D50E3" w:rsidRDefault="00FF2EC0" w:rsidP="00754C28">
      <w:pPr>
        <w:spacing w:line="276" w:lineRule="auto"/>
        <w:rPr>
          <w:rFonts w:ascii="Arial" w:hAnsi="Arial" w:cs="Arial"/>
          <w:b/>
          <w:lang w:val="en-US"/>
        </w:rPr>
      </w:pPr>
      <w:r w:rsidRPr="001D50E3">
        <w:rPr>
          <w:rFonts w:ascii="Arial" w:hAnsi="Arial" w:cs="Arial"/>
          <w:b/>
          <w:lang w:val="en-US"/>
        </w:rPr>
        <w:t>2.2. Prioriteti 2. Rajoni kufitar më i lidhur</w:t>
      </w:r>
    </w:p>
    <w:p w:rsidR="00FF2EC0" w:rsidRPr="00754C28" w:rsidRDefault="00FF2EC0" w:rsidP="00754C28">
      <w:pPr>
        <w:spacing w:line="276" w:lineRule="auto"/>
        <w:rPr>
          <w:rFonts w:ascii="Arial" w:hAnsi="Arial" w:cs="Arial"/>
          <w:b/>
          <w:lang w:val="mk-MK"/>
        </w:rPr>
      </w:pPr>
      <w:r w:rsidRPr="001D50E3">
        <w:rPr>
          <w:rFonts w:ascii="Arial" w:hAnsi="Arial" w:cs="Arial"/>
          <w:b/>
          <w:lang w:val="en-US"/>
        </w:rPr>
        <w:t>Referenca: pika (d) e nenit 17 (3)</w:t>
      </w:r>
    </w:p>
    <w:tbl>
      <w:tblPr>
        <w:tblStyle w:val="TableGrid"/>
        <w:tblW w:w="0" w:type="auto"/>
        <w:tblLook w:val="04A0" w:firstRow="1" w:lastRow="0" w:firstColumn="1" w:lastColumn="0" w:noHBand="0" w:noVBand="1"/>
      </w:tblPr>
      <w:tblGrid>
        <w:gridCol w:w="9242"/>
      </w:tblGrid>
      <w:tr w:rsidR="00FF2EC0" w:rsidRPr="001D50E3" w:rsidTr="00754C28">
        <w:tc>
          <w:tcPr>
            <w:tcW w:w="9242" w:type="dxa"/>
          </w:tcPr>
          <w:p w:rsidR="00FF2EC0" w:rsidRPr="001D50E3" w:rsidRDefault="00FF2EC0" w:rsidP="00754C28">
            <w:pPr>
              <w:jc w:val="both"/>
              <w:rPr>
                <w:rFonts w:ascii="Arial" w:hAnsi="Arial" w:cs="Arial"/>
                <w:lang w:val="en-US"/>
              </w:rPr>
            </w:pPr>
            <w:r w:rsidRPr="001D50E3">
              <w:rPr>
                <w:rFonts w:ascii="Arial" w:hAnsi="Arial" w:cs="Arial"/>
                <w:lang w:val="en-US"/>
              </w:rPr>
              <w:t>Kutia e tekstit: [300]</w:t>
            </w:r>
          </w:p>
          <w:p w:rsidR="00FF2EC0" w:rsidRPr="001D50E3" w:rsidRDefault="00FF2EC0" w:rsidP="00754C28">
            <w:pPr>
              <w:jc w:val="both"/>
              <w:rPr>
                <w:rFonts w:ascii="Arial" w:hAnsi="Arial" w:cs="Arial"/>
                <w:lang w:val="en-US"/>
              </w:rPr>
            </w:pPr>
            <w:r w:rsidRPr="001D50E3">
              <w:rPr>
                <w:rFonts w:ascii="Arial" w:hAnsi="Arial" w:cs="Arial"/>
                <w:lang w:val="en-US"/>
              </w:rPr>
              <w:t>Për të përmirësuar lidhjen rajonale dhe për të stimuluar rritjen ekonomike të bashkëpunimit ndërkufitar</w:t>
            </w:r>
          </w:p>
          <w:p w:rsidR="00FF2EC0" w:rsidRPr="001D50E3" w:rsidRDefault="00FF2EC0" w:rsidP="00754C28">
            <w:pPr>
              <w:jc w:val="both"/>
              <w:rPr>
                <w:rFonts w:ascii="Arial" w:hAnsi="Arial" w:cs="Arial"/>
                <w:lang w:val="en-US"/>
              </w:rPr>
            </w:pPr>
          </w:p>
        </w:tc>
      </w:tr>
    </w:tbl>
    <w:p w:rsidR="00FF2EC0" w:rsidRPr="001D50E3" w:rsidRDefault="00FF2EC0" w:rsidP="00754C28">
      <w:pPr>
        <w:spacing w:line="276" w:lineRule="auto"/>
        <w:jc w:val="both"/>
        <w:rPr>
          <w:rFonts w:ascii="Arial" w:hAnsi="Arial" w:cs="Arial"/>
          <w:lang w:val="en-US"/>
        </w:rPr>
      </w:pPr>
    </w:p>
    <w:p w:rsidR="00FF2EC0" w:rsidRPr="001D50E3" w:rsidRDefault="00FF2EC0" w:rsidP="00754C28">
      <w:pPr>
        <w:spacing w:line="276" w:lineRule="auto"/>
        <w:jc w:val="both"/>
        <w:rPr>
          <w:rFonts w:ascii="Arial" w:hAnsi="Arial" w:cs="Arial"/>
          <w:b/>
          <w:lang w:val="en-US"/>
        </w:rPr>
      </w:pPr>
      <w:r w:rsidRPr="001D50E3">
        <w:rPr>
          <w:rFonts w:ascii="Arial" w:hAnsi="Arial" w:cs="Arial"/>
          <w:b/>
          <w:lang w:val="en-US"/>
        </w:rPr>
        <w:t>2.2.1. Qëllimi specifik (përsëritet për çdo qëllim specifik të zgjedhur)</w:t>
      </w:r>
    </w:p>
    <w:p w:rsidR="00FF2EC0" w:rsidRPr="001D50E3" w:rsidRDefault="00FF2EC0" w:rsidP="00754C28">
      <w:pPr>
        <w:spacing w:line="276" w:lineRule="auto"/>
        <w:jc w:val="both"/>
        <w:rPr>
          <w:rFonts w:ascii="Arial" w:hAnsi="Arial" w:cs="Arial"/>
          <w:lang w:val="en-US"/>
        </w:rPr>
      </w:pPr>
    </w:p>
    <w:tbl>
      <w:tblPr>
        <w:tblStyle w:val="TableGrid"/>
        <w:tblW w:w="0" w:type="auto"/>
        <w:tblLook w:val="04A0" w:firstRow="1" w:lastRow="0" w:firstColumn="1" w:lastColumn="0" w:noHBand="0" w:noVBand="1"/>
      </w:tblPr>
      <w:tblGrid>
        <w:gridCol w:w="9242"/>
      </w:tblGrid>
      <w:tr w:rsidR="00FF2EC0" w:rsidRPr="001D50E3" w:rsidTr="00754C28">
        <w:tc>
          <w:tcPr>
            <w:tcW w:w="9242" w:type="dxa"/>
          </w:tcPr>
          <w:p w:rsidR="00FF2EC0" w:rsidRPr="001D50E3" w:rsidRDefault="00FF2EC0" w:rsidP="00754C28">
            <w:pPr>
              <w:spacing w:line="276" w:lineRule="auto"/>
              <w:jc w:val="both"/>
              <w:rPr>
                <w:rFonts w:ascii="Arial" w:hAnsi="Arial" w:cs="Arial"/>
                <w:lang w:val="en-US"/>
              </w:rPr>
            </w:pPr>
            <w:r w:rsidRPr="001D50E3">
              <w:rPr>
                <w:rFonts w:ascii="Arial" w:hAnsi="Arial" w:cs="Arial"/>
                <w:lang w:val="en-US"/>
              </w:rPr>
              <w:t>Kutia e tekstit: [300]</w:t>
            </w:r>
          </w:p>
          <w:p w:rsidR="00FF2EC0" w:rsidRPr="001D50E3" w:rsidRDefault="00FF2EC0" w:rsidP="00754C28">
            <w:pPr>
              <w:spacing w:line="276" w:lineRule="auto"/>
              <w:jc w:val="both"/>
              <w:rPr>
                <w:rFonts w:ascii="Arial" w:hAnsi="Arial" w:cs="Arial"/>
                <w:lang w:val="en-US"/>
              </w:rPr>
            </w:pPr>
            <w:r w:rsidRPr="001D50E3">
              <w:rPr>
                <w:rFonts w:ascii="Arial" w:hAnsi="Arial" w:cs="Arial"/>
                <w:lang w:val="en-US"/>
              </w:rPr>
              <w:t>2.1 Zhvillimi i lëvizshmërisë kombëtare, rajonale dhe lokale të qëndrueshme, rezistente ndaj klimës, inteligjente dhe intermodale, duke përfshirë aksesin e përmirësuar në Rrjetin e Transportit Trans-Evropian (TEM-T) dhe lëvizshmërinë ndërkufitare.</w:t>
            </w:r>
          </w:p>
          <w:p w:rsidR="00FF2EC0" w:rsidRPr="001D50E3" w:rsidRDefault="00FF2EC0" w:rsidP="00754C28">
            <w:pPr>
              <w:spacing w:line="276" w:lineRule="auto"/>
              <w:jc w:val="both"/>
              <w:rPr>
                <w:rFonts w:ascii="Arial" w:hAnsi="Arial" w:cs="Arial"/>
                <w:lang w:val="en-US"/>
              </w:rPr>
            </w:pPr>
          </w:p>
        </w:tc>
      </w:tr>
    </w:tbl>
    <w:p w:rsidR="00FF2EC0" w:rsidRPr="001D50E3" w:rsidRDefault="00FF2EC0" w:rsidP="00754C28">
      <w:pPr>
        <w:spacing w:line="276" w:lineRule="auto"/>
        <w:jc w:val="both"/>
        <w:rPr>
          <w:rFonts w:ascii="Arial" w:hAnsi="Arial" w:cs="Arial"/>
          <w:lang w:val="en-US"/>
        </w:rPr>
      </w:pPr>
    </w:p>
    <w:p w:rsidR="00FF2EC0" w:rsidRPr="001D50E3" w:rsidRDefault="00FF2EC0" w:rsidP="00754C28">
      <w:pPr>
        <w:spacing w:line="276" w:lineRule="auto"/>
        <w:jc w:val="both"/>
        <w:rPr>
          <w:rFonts w:ascii="Arial" w:hAnsi="Arial" w:cs="Arial"/>
          <w:b/>
          <w:lang w:val="en-US"/>
        </w:rPr>
      </w:pPr>
      <w:r w:rsidRPr="001D50E3">
        <w:rPr>
          <w:rFonts w:ascii="Arial" w:hAnsi="Arial" w:cs="Arial"/>
          <w:b/>
          <w:lang w:val="en-US"/>
        </w:rPr>
        <w:t>Referenca: pika (e) e nenit 17 (3)</w:t>
      </w:r>
    </w:p>
    <w:p w:rsidR="00FF2EC0" w:rsidRPr="001D50E3" w:rsidRDefault="00FF2EC0" w:rsidP="00754C28">
      <w:pPr>
        <w:spacing w:line="276" w:lineRule="auto"/>
        <w:jc w:val="both"/>
        <w:rPr>
          <w:rFonts w:ascii="Arial" w:hAnsi="Arial" w:cs="Arial"/>
          <w:b/>
          <w:lang w:val="en-US"/>
        </w:rPr>
      </w:pPr>
      <w:r w:rsidRPr="001D50E3">
        <w:rPr>
          <w:rFonts w:ascii="Arial" w:hAnsi="Arial" w:cs="Arial"/>
          <w:b/>
          <w:lang w:val="en-US"/>
        </w:rPr>
        <w:t>2.2.2. Llojet e ndërlidhura të veprimeve dhe kontributi i tyre i pritshëm në ato objektiva specifike dhe strategji makro-rajonale dhe në det të hapur, kur është e përshtatshme</w:t>
      </w:r>
    </w:p>
    <w:p w:rsidR="00FF2EC0" w:rsidRPr="001D50E3" w:rsidRDefault="00FF2EC0" w:rsidP="00754C28">
      <w:pPr>
        <w:spacing w:line="276" w:lineRule="auto"/>
        <w:jc w:val="both"/>
        <w:rPr>
          <w:rFonts w:ascii="Arial" w:hAnsi="Arial" w:cs="Arial"/>
          <w:b/>
          <w:lang w:val="en-US"/>
        </w:rPr>
      </w:pPr>
      <w:r w:rsidRPr="001D50E3">
        <w:rPr>
          <w:rFonts w:ascii="Arial" w:hAnsi="Arial" w:cs="Arial"/>
          <w:b/>
          <w:lang w:val="en-US"/>
        </w:rPr>
        <w:t>Referenca: pika (e) (i) e nenit 17 (3), pika (c) (ii) e nenit 17 (9)</w:t>
      </w:r>
    </w:p>
    <w:p w:rsidR="00FF2EC0" w:rsidRPr="001D50E3" w:rsidRDefault="00FF2EC0" w:rsidP="00754C28">
      <w:pPr>
        <w:spacing w:line="276" w:lineRule="auto"/>
        <w:jc w:val="both"/>
        <w:rPr>
          <w:rFonts w:ascii="Arial" w:hAnsi="Arial" w:cs="Arial"/>
          <w:lang w:val="en-US"/>
        </w:rPr>
      </w:pPr>
    </w:p>
    <w:tbl>
      <w:tblPr>
        <w:tblStyle w:val="TableGrid"/>
        <w:tblW w:w="0" w:type="auto"/>
        <w:tblLook w:val="04A0" w:firstRow="1" w:lastRow="0" w:firstColumn="1" w:lastColumn="0" w:noHBand="0" w:noVBand="1"/>
      </w:tblPr>
      <w:tblGrid>
        <w:gridCol w:w="9242"/>
      </w:tblGrid>
      <w:tr w:rsidR="00FF2EC0" w:rsidRPr="001D50E3" w:rsidTr="00754C28">
        <w:tc>
          <w:tcPr>
            <w:tcW w:w="9242" w:type="dxa"/>
          </w:tcPr>
          <w:p w:rsidR="00FF2EC0" w:rsidRPr="001D50E3" w:rsidRDefault="00FF2EC0" w:rsidP="00754C28">
            <w:pPr>
              <w:spacing w:line="276" w:lineRule="auto"/>
              <w:jc w:val="both"/>
              <w:rPr>
                <w:rFonts w:ascii="Arial" w:hAnsi="Arial" w:cs="Arial"/>
                <w:lang w:val="en-US"/>
              </w:rPr>
            </w:pPr>
            <w:r w:rsidRPr="001D50E3">
              <w:rPr>
                <w:rFonts w:ascii="Arial" w:hAnsi="Arial" w:cs="Arial"/>
                <w:lang w:val="en-US"/>
              </w:rPr>
              <w:t>Kutia e tekstit [7000]</w:t>
            </w:r>
          </w:p>
          <w:p w:rsidR="00FF2EC0" w:rsidRPr="001D50E3" w:rsidRDefault="00FF2EC0" w:rsidP="00754C28">
            <w:pPr>
              <w:spacing w:line="276" w:lineRule="auto"/>
              <w:jc w:val="both"/>
              <w:rPr>
                <w:rFonts w:ascii="Arial" w:hAnsi="Arial" w:cs="Arial"/>
                <w:lang w:val="en-US"/>
              </w:rPr>
            </w:pPr>
            <w:r w:rsidRPr="001D50E3">
              <w:rPr>
                <w:rFonts w:ascii="Arial" w:hAnsi="Arial" w:cs="Arial"/>
                <w:lang w:val="en-US"/>
              </w:rPr>
              <w:t xml:space="preserve">Marrëdhëniet socio-ekonomike midis dy vendeve po zgjerohen gradualisht për shkak të perspektivave pozitive për zgjerimin e BE-së. Më 14 qershor 1999 në Shkup u nënshkrua marrëveshja ndërmjet Qeverisë së Republikës së Maqedonisë dhe Qeverisë së Republikës së Bullgarisë për hapjen e pikës së re kufitare rrugore ndërkombëtare (PGP) Strumjani - Berovë dhe Simitli - Pehçevë. Në territorin e Republikës së Maqedonisë Veriore PGP </w:t>
            </w:r>
            <w:r w:rsidRPr="001D50E3">
              <w:rPr>
                <w:rFonts w:ascii="Arial" w:hAnsi="Arial" w:cs="Arial"/>
                <w:lang w:val="en-US"/>
              </w:rPr>
              <w:lastRenderedPageBreak/>
              <w:t>Strumyani - Berovë, si dhe rruga hyrëse, tashmë janë ndërtuar në vitin 2001, ndërsa në territorin e Republikës së Bullgarisë dhe seksioni rrugor dhe PGP ende nuk janë ndërtuar. Në përputhje me Marrëveshjen e sipërpërmendur, seksioni rrugor dhe PGP në territorin e Republikës së Bullgarisë ishin paraparë të financoheshin në kuadër të Iniciativës për Kufijtë e Jashtëm 2003, por nuk u realizuan. Nevoja për të forcuar lidhjen rajonale dhe për të lehtësuar lëvizjen e shtuar të njerëzve dhe mallrave ndërmjet Republikës së Bullgarisë dhe Republikës së Maqedonisë Veriore ka qenë prej kohësh në agjendë.</w:t>
            </w:r>
          </w:p>
          <w:p w:rsidR="00FF2EC0" w:rsidRPr="001D50E3" w:rsidRDefault="00FF2EC0" w:rsidP="00754C28">
            <w:pPr>
              <w:spacing w:line="276" w:lineRule="auto"/>
              <w:jc w:val="both"/>
              <w:rPr>
                <w:rFonts w:ascii="Arial" w:hAnsi="Arial" w:cs="Arial"/>
                <w:lang w:val="en-US"/>
              </w:rPr>
            </w:pPr>
            <w:r w:rsidRPr="001D50E3">
              <w:rPr>
                <w:rFonts w:ascii="Arial" w:hAnsi="Arial" w:cs="Arial"/>
                <w:lang w:val="en-US"/>
              </w:rPr>
              <w:t>Lidhjet që mungojnë në ofrimin ndërkufitar të shërbimeve të biznesit dhe ato me interes të përgjithshëm janë një faktor kryesor prapa dinamikës demografike negative të shfaqur nga zona.</w:t>
            </w:r>
          </w:p>
          <w:p w:rsidR="00FF2EC0" w:rsidRPr="001D50E3" w:rsidRDefault="00FF2EC0" w:rsidP="00754C28">
            <w:pPr>
              <w:spacing w:line="276" w:lineRule="auto"/>
              <w:jc w:val="both"/>
              <w:rPr>
                <w:rFonts w:ascii="Arial" w:hAnsi="Arial" w:cs="Arial"/>
                <w:lang w:val="en-US"/>
              </w:rPr>
            </w:pPr>
            <w:r w:rsidRPr="001D50E3">
              <w:rPr>
                <w:rFonts w:ascii="Arial" w:hAnsi="Arial" w:cs="Arial"/>
                <w:lang w:val="en-US"/>
              </w:rPr>
              <w:t>Mungesa e infrastrukturës që favorizon ofrimin e shërbimeve me interes për komunitetin dhe biznesin imponon më tej implikime serioze sociale duke përfshirë rritjen e përjashtimit social dhe pabarazisë, si dhe sfida në ofrimin e shërbimeve rekreative, tregjeve të punës dhe strehimit.</w:t>
            </w:r>
          </w:p>
          <w:p w:rsidR="00FF2EC0" w:rsidRPr="001D50E3" w:rsidRDefault="00FF2EC0" w:rsidP="00754C28">
            <w:pPr>
              <w:spacing w:line="276" w:lineRule="auto"/>
              <w:jc w:val="both"/>
              <w:rPr>
                <w:rFonts w:ascii="Arial" w:hAnsi="Arial" w:cs="Arial"/>
                <w:lang w:val="en-US"/>
              </w:rPr>
            </w:pPr>
            <w:r w:rsidRPr="001D50E3">
              <w:rPr>
                <w:rFonts w:ascii="Arial" w:hAnsi="Arial" w:cs="Arial"/>
                <w:lang w:val="en-US"/>
              </w:rPr>
              <w:t>Për sa i përket lidhjes ndërrajonale, mungesa e lidhjeve hekurudhore midis dy vendeve dhe rritja e trafikut ndërkufitar kanë nxitur nevojën për të përmirësuar kapacitetin e shërbimit të pikës aktuale kufitare rrugore dhe rritjen e aksesit TEM-T, duke marrë parasysh pamjen e përshpejtuar. Zgjerimi i BE-së. Investimet nën këtë prioritet do të kontribuojnë në politikën e jashtme të BE-së duke respektuar standardet më të fundit për mbrojtjen e sigurisë dhe kontrollin e kufijve. Ndikimi i gjerë dhe shumësektorial i investimeve në fusha të ndryshme të BE-së po mbron orientimin e tij strategjik në lidhjen rajonale dhe lëvizshmërinë ndërkufitare në një zonë që së shpejti pritet t'i bashkohet familjes së BE-së. Qëllimi kryesor i ndërhyrjeve në kuadër të këtij prioriteti është përmirësimi i lidhjes rajonale dhe ndihma në forcimin e rritjes ekonomike të zonës për bashkëpunim ndërkufitar duke (1) lehtësuar lëvizjen në rritje të njerëzve dhe mallrave ndërmjet dy vendeve, (2) forcimi i lidhjeve të komunikimit midis dy vendeve dhe (3) përmirësimi dhe zgjerimi i aksesit në thelbin TEM-T. Lista jo shteruese e aktiviteteve që prioriteti do të mbështeste është si më poshtë:</w:t>
            </w:r>
          </w:p>
          <w:p w:rsidR="00FF2EC0" w:rsidRPr="001D50E3" w:rsidRDefault="00FF2EC0" w:rsidP="00754C28">
            <w:pPr>
              <w:spacing w:line="276" w:lineRule="auto"/>
              <w:jc w:val="both"/>
              <w:rPr>
                <w:rFonts w:ascii="Arial" w:hAnsi="Arial" w:cs="Arial"/>
                <w:lang w:val="en-US"/>
              </w:rPr>
            </w:pPr>
            <w:r w:rsidRPr="001D50E3">
              <w:rPr>
                <w:rFonts w:ascii="Arial" w:hAnsi="Arial" w:cs="Arial"/>
                <w:lang w:val="en-US"/>
              </w:rPr>
              <w:t>- Përmirësimi i objekteve ekzistuese dhe ndërtimi i objekteve të reja në vendkalimet kufitare rrugore;</w:t>
            </w:r>
          </w:p>
          <w:p w:rsidR="00FF2EC0" w:rsidRPr="001D50E3" w:rsidRDefault="00FF2EC0" w:rsidP="00754C28">
            <w:pPr>
              <w:spacing w:line="276" w:lineRule="auto"/>
              <w:jc w:val="both"/>
              <w:rPr>
                <w:rFonts w:ascii="Arial" w:hAnsi="Arial" w:cs="Arial"/>
                <w:lang w:val="en-US"/>
              </w:rPr>
            </w:pPr>
            <w:r w:rsidRPr="001D50E3">
              <w:rPr>
                <w:rFonts w:ascii="Arial" w:hAnsi="Arial" w:cs="Arial"/>
                <w:lang w:val="en-US"/>
              </w:rPr>
              <w:t>- Prokurimi i pajisjeve teknike të specializuara të bazuara në zgjidhjet e TIK;</w:t>
            </w:r>
          </w:p>
          <w:p w:rsidR="00FF2EC0" w:rsidRPr="001D50E3" w:rsidRDefault="00FF2EC0" w:rsidP="00754C28">
            <w:pPr>
              <w:spacing w:line="276" w:lineRule="auto"/>
              <w:jc w:val="both"/>
              <w:rPr>
                <w:rFonts w:ascii="Arial" w:hAnsi="Arial" w:cs="Arial"/>
                <w:lang w:val="en-US"/>
              </w:rPr>
            </w:pPr>
            <w:r w:rsidRPr="001D50E3">
              <w:rPr>
                <w:rFonts w:ascii="Arial" w:hAnsi="Arial" w:cs="Arial"/>
                <w:lang w:val="en-US"/>
              </w:rPr>
              <w:t>- Rehabilitimi i rrugëve ekzistuese dhe ndërtimi i rrugëve të reja në të dy vendet;</w:t>
            </w:r>
          </w:p>
          <w:p w:rsidR="00FF2EC0" w:rsidRPr="001D50E3" w:rsidRDefault="00FF2EC0" w:rsidP="00754C28">
            <w:pPr>
              <w:spacing w:line="276" w:lineRule="auto"/>
              <w:jc w:val="both"/>
              <w:rPr>
                <w:rFonts w:ascii="Arial" w:hAnsi="Arial" w:cs="Arial"/>
                <w:lang w:val="en-US"/>
              </w:rPr>
            </w:pPr>
            <w:r w:rsidRPr="001D50E3">
              <w:rPr>
                <w:rFonts w:ascii="Arial" w:hAnsi="Arial" w:cs="Arial"/>
                <w:lang w:val="en-US"/>
              </w:rPr>
              <w:t>- Vlerësime mjedisore dhe të tjera të lidhura me projektet</w:t>
            </w:r>
          </w:p>
          <w:p w:rsidR="00FF2EC0" w:rsidRPr="001D50E3" w:rsidRDefault="00FF2EC0" w:rsidP="00754C28">
            <w:pPr>
              <w:spacing w:line="276" w:lineRule="auto"/>
              <w:jc w:val="both"/>
              <w:rPr>
                <w:rFonts w:ascii="Arial" w:hAnsi="Arial" w:cs="Arial"/>
                <w:lang w:val="en-US"/>
              </w:rPr>
            </w:pPr>
            <w:r w:rsidRPr="001D50E3">
              <w:rPr>
                <w:rFonts w:ascii="Arial" w:hAnsi="Arial" w:cs="Arial"/>
                <w:lang w:val="en-US"/>
              </w:rPr>
              <w:t>Investimet do të jenë në formën e një projekti me rëndësi strategjike.</w:t>
            </w:r>
          </w:p>
          <w:p w:rsidR="00FF2EC0" w:rsidRPr="001D50E3" w:rsidRDefault="00FF2EC0" w:rsidP="00754C28">
            <w:pPr>
              <w:spacing w:line="276" w:lineRule="auto"/>
              <w:jc w:val="both"/>
              <w:rPr>
                <w:rFonts w:ascii="Arial" w:hAnsi="Arial" w:cs="Arial"/>
                <w:lang w:val="en-US"/>
              </w:rPr>
            </w:pPr>
            <w:r w:rsidRPr="001D50E3">
              <w:rPr>
                <w:rFonts w:ascii="Arial" w:hAnsi="Arial" w:cs="Arial"/>
                <w:lang w:val="en-US"/>
              </w:rPr>
              <w:t>Investimet potencialisht do të kenë një ndikim në Objektivin III - Përmirësimi i sistemeve të kontrollit kufitar, menaxhimit të inspektimit të dokumenteve dhe bashkëpunimit për çështjet konsullore në rajonin e Danubit në Zonën Prioritare 11 Siguria e EUSRD duke aplikuar standardet më të fundit në mbrojtjen e siguria dhe kontrolli i sistemeve kufitare. Me akses të përmirësuar në rrjetin kryesor TEM-T, projekti jep një kontribut të padiskutueshëm në zbatimin e Temës 2 (Lidhjet Intermodale) të Shtyllës 2: Lidhja e Rajonit EUSRY.</w:t>
            </w:r>
          </w:p>
          <w:p w:rsidR="00FF2EC0" w:rsidRPr="001D50E3" w:rsidRDefault="00FF2EC0" w:rsidP="00754C28">
            <w:pPr>
              <w:spacing w:line="276" w:lineRule="auto"/>
              <w:jc w:val="both"/>
              <w:rPr>
                <w:rFonts w:ascii="Arial" w:hAnsi="Arial" w:cs="Arial"/>
                <w:lang w:val="en-US"/>
              </w:rPr>
            </w:pPr>
          </w:p>
        </w:tc>
      </w:tr>
    </w:tbl>
    <w:p w:rsidR="00FF2EC0" w:rsidRPr="00910866" w:rsidRDefault="00FF2EC0" w:rsidP="00754C28">
      <w:pPr>
        <w:spacing w:line="276" w:lineRule="auto"/>
        <w:jc w:val="both"/>
        <w:rPr>
          <w:rFonts w:ascii="Arial" w:hAnsi="Arial" w:cs="Arial"/>
          <w:sz w:val="20"/>
          <w:szCs w:val="20"/>
          <w:lang w:val="en-US"/>
        </w:rPr>
      </w:pPr>
    </w:p>
    <w:p w:rsidR="00FF2EC0" w:rsidRPr="001D50E3" w:rsidRDefault="00FF2EC0" w:rsidP="00754C28">
      <w:pPr>
        <w:spacing w:line="276" w:lineRule="auto"/>
        <w:jc w:val="both"/>
        <w:rPr>
          <w:rFonts w:ascii="Arial" w:hAnsi="Arial" w:cs="Arial"/>
          <w:b/>
          <w:lang w:val="en-US"/>
        </w:rPr>
      </w:pPr>
      <w:r w:rsidRPr="001D50E3">
        <w:rPr>
          <w:rFonts w:ascii="Arial" w:hAnsi="Arial" w:cs="Arial"/>
          <w:b/>
          <w:lang w:val="en-US"/>
        </w:rPr>
        <w:t>2.2.3. Treguesit</w:t>
      </w:r>
    </w:p>
    <w:p w:rsidR="00FF2EC0" w:rsidRPr="001D50E3" w:rsidRDefault="00FF2EC0" w:rsidP="00754C28">
      <w:pPr>
        <w:spacing w:line="276" w:lineRule="auto"/>
        <w:jc w:val="both"/>
        <w:rPr>
          <w:rFonts w:ascii="Arial" w:hAnsi="Arial" w:cs="Arial"/>
          <w:b/>
          <w:lang w:val="en-US"/>
        </w:rPr>
      </w:pPr>
      <w:r w:rsidRPr="001D50E3">
        <w:rPr>
          <w:rFonts w:ascii="Arial" w:hAnsi="Arial" w:cs="Arial"/>
          <w:b/>
          <w:lang w:val="en-US"/>
        </w:rPr>
        <w:t>Referenca: Neni 17 (3) (g) (ii), Neni (c) (iii) 17 (9)</w:t>
      </w:r>
    </w:p>
    <w:p w:rsidR="00FF2EC0" w:rsidRPr="00754C28" w:rsidRDefault="00FF2EC0" w:rsidP="00754C28">
      <w:pPr>
        <w:spacing w:line="276" w:lineRule="auto"/>
        <w:jc w:val="both"/>
        <w:rPr>
          <w:rFonts w:ascii="Arial" w:hAnsi="Arial" w:cs="Arial"/>
          <w:b/>
          <w:lang w:val="mk-MK"/>
        </w:rPr>
      </w:pPr>
      <w:r w:rsidRPr="001D50E3">
        <w:rPr>
          <w:rFonts w:ascii="Arial" w:hAnsi="Arial" w:cs="Arial"/>
          <w:b/>
          <w:lang w:val="en-US"/>
        </w:rPr>
        <w:t>Tabela 2: Treguesit e prodhimit</w:t>
      </w:r>
    </w:p>
    <w:tbl>
      <w:tblPr>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6"/>
        <w:gridCol w:w="1735"/>
        <w:gridCol w:w="1072"/>
        <w:gridCol w:w="1486"/>
        <w:gridCol w:w="1494"/>
        <w:gridCol w:w="1017"/>
        <w:gridCol w:w="1573"/>
      </w:tblGrid>
      <w:tr w:rsidR="00FF2EC0" w:rsidRPr="001D50E3" w:rsidTr="00754C28">
        <w:trPr>
          <w:trHeight w:val="836"/>
        </w:trPr>
        <w:tc>
          <w:tcPr>
            <w:tcW w:w="745" w:type="pct"/>
          </w:tcPr>
          <w:p w:rsidR="00FF2EC0" w:rsidRPr="001D50E3" w:rsidRDefault="00FF2EC0" w:rsidP="00754C28">
            <w:pPr>
              <w:spacing w:before="120" w:after="120" w:line="276" w:lineRule="auto"/>
              <w:jc w:val="both"/>
              <w:rPr>
                <w:rFonts w:ascii="Arial" w:eastAsia="Calibri" w:hAnsi="Arial" w:cs="Arial"/>
                <w:b/>
                <w:noProof/>
                <w:lang w:val="en-US"/>
              </w:rPr>
            </w:pPr>
            <w:r w:rsidRPr="001D50E3">
              <w:rPr>
                <w:rFonts w:ascii="Arial" w:eastAsia="Calibri" w:hAnsi="Arial" w:cs="Arial"/>
                <w:b/>
                <w:noProof/>
                <w:lang w:val="en-US"/>
              </w:rPr>
              <w:lastRenderedPageBreak/>
              <w:t>Prioritetet</w:t>
            </w:r>
          </w:p>
        </w:tc>
        <w:tc>
          <w:tcPr>
            <w:tcW w:w="945" w:type="pct"/>
          </w:tcPr>
          <w:p w:rsidR="00FF2EC0" w:rsidRPr="001D50E3" w:rsidRDefault="00FF2EC0" w:rsidP="00754C28">
            <w:pPr>
              <w:spacing w:before="120" w:after="120" w:line="276" w:lineRule="auto"/>
              <w:jc w:val="both"/>
              <w:rPr>
                <w:rFonts w:ascii="Arial" w:eastAsia="Calibri" w:hAnsi="Arial" w:cs="Arial"/>
                <w:b/>
                <w:noProof/>
                <w:lang w:val="en-US"/>
              </w:rPr>
            </w:pPr>
            <w:r w:rsidRPr="001D50E3">
              <w:rPr>
                <w:rFonts w:ascii="Arial" w:eastAsia="Calibri" w:hAnsi="Arial" w:cs="Arial"/>
                <w:b/>
                <w:noProof/>
                <w:lang w:val="en-US"/>
              </w:rPr>
              <w:t>Qëllimi specifik</w:t>
            </w:r>
          </w:p>
        </w:tc>
        <w:tc>
          <w:tcPr>
            <w:tcW w:w="565" w:type="pct"/>
          </w:tcPr>
          <w:p w:rsidR="00FF2EC0" w:rsidRPr="001D50E3" w:rsidRDefault="00FF2EC0" w:rsidP="00754C28">
            <w:pPr>
              <w:spacing w:before="120" w:after="120" w:line="276" w:lineRule="auto"/>
              <w:jc w:val="both"/>
              <w:rPr>
                <w:rFonts w:ascii="Arial" w:eastAsia="Calibri" w:hAnsi="Arial" w:cs="Arial"/>
                <w:b/>
                <w:noProof/>
              </w:rPr>
            </w:pPr>
            <w:r w:rsidRPr="001D50E3">
              <w:rPr>
                <w:rFonts w:ascii="Arial" w:eastAsia="Calibri" w:hAnsi="Arial" w:cs="Arial"/>
                <w:b/>
                <w:noProof/>
              </w:rPr>
              <w:t>ID</w:t>
            </w:r>
          </w:p>
          <w:p w:rsidR="00FF2EC0" w:rsidRPr="001D50E3" w:rsidRDefault="00FF2EC0" w:rsidP="00754C28">
            <w:pPr>
              <w:spacing w:before="120" w:after="120" w:line="276" w:lineRule="auto"/>
              <w:jc w:val="both"/>
              <w:rPr>
                <w:rFonts w:ascii="Arial" w:eastAsia="Calibri" w:hAnsi="Arial" w:cs="Arial"/>
                <w:b/>
                <w:noProof/>
              </w:rPr>
            </w:pPr>
            <w:r w:rsidRPr="001D50E3">
              <w:rPr>
                <w:rFonts w:ascii="Arial" w:eastAsia="Calibri" w:hAnsi="Arial" w:cs="Arial"/>
                <w:b/>
                <w:noProof/>
              </w:rPr>
              <w:t>[5]</w:t>
            </w:r>
          </w:p>
        </w:tc>
        <w:tc>
          <w:tcPr>
            <w:tcW w:w="856" w:type="pct"/>
            <w:shd w:val="clear" w:color="auto" w:fill="auto"/>
          </w:tcPr>
          <w:p w:rsidR="00FF2EC0" w:rsidRPr="001D50E3" w:rsidRDefault="00FF2EC0" w:rsidP="00754C28">
            <w:pPr>
              <w:spacing w:before="120" w:after="120" w:line="276" w:lineRule="auto"/>
              <w:jc w:val="both"/>
              <w:rPr>
                <w:rFonts w:ascii="Arial" w:eastAsia="Calibri" w:hAnsi="Arial" w:cs="Arial"/>
                <w:b/>
                <w:noProof/>
                <w:lang w:val="en-US"/>
              </w:rPr>
            </w:pPr>
            <w:r w:rsidRPr="001D50E3">
              <w:rPr>
                <w:rFonts w:ascii="Arial" w:eastAsia="Calibri" w:hAnsi="Arial" w:cs="Arial"/>
                <w:b/>
                <w:noProof/>
                <w:lang w:val="en-US"/>
              </w:rPr>
              <w:t>Indikatoret</w:t>
            </w:r>
          </w:p>
        </w:tc>
        <w:tc>
          <w:tcPr>
            <w:tcW w:w="821" w:type="pct"/>
          </w:tcPr>
          <w:p w:rsidR="00FF2EC0" w:rsidRPr="001D50E3" w:rsidRDefault="00FF2EC0" w:rsidP="00754C28">
            <w:pPr>
              <w:spacing w:before="120" w:after="120" w:line="276" w:lineRule="auto"/>
              <w:jc w:val="both"/>
              <w:rPr>
                <w:rFonts w:ascii="Arial" w:eastAsia="Calibri" w:hAnsi="Arial" w:cs="Arial"/>
                <w:b/>
                <w:noProof/>
                <w:lang w:val="en-US"/>
              </w:rPr>
            </w:pPr>
            <w:r w:rsidRPr="001D50E3">
              <w:rPr>
                <w:rFonts w:ascii="Arial" w:eastAsia="Calibri" w:hAnsi="Arial" w:cs="Arial"/>
                <w:b/>
                <w:noProof/>
                <w:lang w:val="en-US"/>
              </w:rPr>
              <w:t>Njesia matese</w:t>
            </w:r>
          </w:p>
          <w:p w:rsidR="00FF2EC0" w:rsidRPr="001D50E3" w:rsidRDefault="00FF2EC0" w:rsidP="00754C28">
            <w:pPr>
              <w:spacing w:before="120" w:after="120" w:line="276" w:lineRule="auto"/>
              <w:jc w:val="both"/>
              <w:rPr>
                <w:rFonts w:ascii="Arial" w:eastAsia="Calibri" w:hAnsi="Arial" w:cs="Arial"/>
                <w:b/>
                <w:noProof/>
              </w:rPr>
            </w:pPr>
            <w:r w:rsidRPr="001D50E3">
              <w:rPr>
                <w:rFonts w:ascii="Arial" w:eastAsia="Calibri" w:hAnsi="Arial" w:cs="Arial"/>
                <w:b/>
                <w:noProof/>
              </w:rPr>
              <w:t>[255]</w:t>
            </w:r>
          </w:p>
        </w:tc>
        <w:tc>
          <w:tcPr>
            <w:tcW w:w="576" w:type="pct"/>
            <w:shd w:val="clear" w:color="auto" w:fill="auto"/>
          </w:tcPr>
          <w:p w:rsidR="00FF2EC0" w:rsidRPr="001D50E3" w:rsidRDefault="00FF2EC0" w:rsidP="00754C28">
            <w:pPr>
              <w:spacing w:before="120" w:after="120" w:line="276" w:lineRule="auto"/>
              <w:jc w:val="both"/>
              <w:rPr>
                <w:rFonts w:ascii="Arial" w:eastAsia="Calibri" w:hAnsi="Arial" w:cs="Arial"/>
                <w:b/>
                <w:noProof/>
              </w:rPr>
            </w:pPr>
            <w:r w:rsidRPr="001D50E3">
              <w:rPr>
                <w:rFonts w:ascii="Arial" w:eastAsia="Calibri" w:hAnsi="Arial" w:cs="Arial"/>
                <w:b/>
                <w:noProof/>
                <w:lang w:val="en-US"/>
              </w:rPr>
              <w:t>Qëllimi I mesëm</w:t>
            </w:r>
            <w:r w:rsidRPr="001D50E3">
              <w:rPr>
                <w:rFonts w:ascii="Arial" w:eastAsia="Calibri" w:hAnsi="Arial" w:cs="Arial"/>
                <w:b/>
                <w:noProof/>
              </w:rPr>
              <w:t xml:space="preserve"> (2024)</w:t>
            </w:r>
          </w:p>
          <w:p w:rsidR="00FF2EC0" w:rsidRPr="001D50E3" w:rsidRDefault="00FF2EC0" w:rsidP="00754C28">
            <w:pPr>
              <w:spacing w:before="120" w:after="120" w:line="276" w:lineRule="auto"/>
              <w:jc w:val="both"/>
              <w:rPr>
                <w:rFonts w:ascii="Arial" w:eastAsia="Calibri" w:hAnsi="Arial" w:cs="Arial"/>
                <w:b/>
                <w:noProof/>
              </w:rPr>
            </w:pPr>
            <w:r w:rsidRPr="001D50E3">
              <w:rPr>
                <w:rFonts w:ascii="Arial" w:eastAsia="Calibri" w:hAnsi="Arial" w:cs="Arial"/>
                <w:b/>
                <w:noProof/>
              </w:rPr>
              <w:t>[200]</w:t>
            </w:r>
          </w:p>
        </w:tc>
        <w:tc>
          <w:tcPr>
            <w:tcW w:w="492" w:type="pct"/>
            <w:shd w:val="clear" w:color="auto" w:fill="auto"/>
          </w:tcPr>
          <w:p w:rsidR="00FF2EC0" w:rsidRPr="001D50E3" w:rsidRDefault="00FF2EC0" w:rsidP="00754C28">
            <w:pPr>
              <w:spacing w:before="120" w:after="120" w:line="276" w:lineRule="auto"/>
              <w:jc w:val="both"/>
              <w:rPr>
                <w:rFonts w:ascii="Arial" w:eastAsia="Calibri" w:hAnsi="Arial" w:cs="Arial"/>
                <w:b/>
                <w:noProof/>
              </w:rPr>
            </w:pPr>
            <w:r w:rsidRPr="001D50E3">
              <w:rPr>
                <w:rFonts w:ascii="Arial" w:eastAsia="Calibri" w:hAnsi="Arial" w:cs="Arial"/>
                <w:b/>
                <w:noProof/>
                <w:lang w:val="en-US"/>
              </w:rPr>
              <w:t>Qëllimi përfundimtar</w:t>
            </w:r>
            <w:r w:rsidRPr="001D50E3">
              <w:rPr>
                <w:rFonts w:ascii="Arial" w:eastAsia="Calibri" w:hAnsi="Arial" w:cs="Arial"/>
                <w:b/>
                <w:noProof/>
              </w:rPr>
              <w:t xml:space="preserve"> (2029)</w:t>
            </w:r>
          </w:p>
          <w:p w:rsidR="00FF2EC0" w:rsidRPr="001D50E3" w:rsidRDefault="00FF2EC0" w:rsidP="00754C28">
            <w:pPr>
              <w:spacing w:before="120" w:after="120" w:line="276" w:lineRule="auto"/>
              <w:jc w:val="both"/>
              <w:rPr>
                <w:rFonts w:ascii="Arial" w:eastAsia="Calibri" w:hAnsi="Arial" w:cs="Arial"/>
                <w:b/>
                <w:noProof/>
              </w:rPr>
            </w:pPr>
            <w:r w:rsidRPr="001D50E3">
              <w:rPr>
                <w:rFonts w:ascii="Arial" w:eastAsia="Calibri" w:hAnsi="Arial" w:cs="Arial"/>
                <w:b/>
                <w:noProof/>
              </w:rPr>
              <w:t>[200]</w:t>
            </w:r>
          </w:p>
        </w:tc>
      </w:tr>
      <w:tr w:rsidR="00FF2EC0" w:rsidRPr="001D50E3" w:rsidTr="00754C28">
        <w:trPr>
          <w:trHeight w:val="579"/>
        </w:trPr>
        <w:tc>
          <w:tcPr>
            <w:tcW w:w="745" w:type="pct"/>
          </w:tcPr>
          <w:p w:rsidR="00FF2EC0" w:rsidRPr="001D50E3" w:rsidRDefault="00FF2EC0" w:rsidP="00754C28">
            <w:pPr>
              <w:spacing w:before="120" w:after="120" w:line="276" w:lineRule="auto"/>
              <w:jc w:val="both"/>
              <w:rPr>
                <w:rFonts w:ascii="Arial" w:eastAsia="Times New Roman" w:hAnsi="Arial" w:cs="Arial"/>
                <w:i/>
                <w:noProof/>
                <w:color w:val="000000"/>
                <w:lang w:eastAsia="en-GB"/>
              </w:rPr>
            </w:pPr>
            <w:r w:rsidRPr="001D50E3">
              <w:rPr>
                <w:rFonts w:ascii="Arial" w:eastAsia="Times New Roman" w:hAnsi="Arial" w:cs="Arial"/>
                <w:i/>
                <w:noProof/>
                <w:color w:val="000000"/>
                <w:lang w:eastAsia="en-GB"/>
              </w:rPr>
              <w:t>Rajoni kufitar më i lidhur</w:t>
            </w:r>
          </w:p>
        </w:tc>
        <w:tc>
          <w:tcPr>
            <w:tcW w:w="945" w:type="pct"/>
          </w:tcPr>
          <w:p w:rsidR="00FF2EC0" w:rsidRPr="001D50E3" w:rsidRDefault="00FF2EC0" w:rsidP="00754C28">
            <w:pPr>
              <w:spacing w:before="120" w:after="120" w:line="276" w:lineRule="auto"/>
              <w:jc w:val="both"/>
              <w:rPr>
                <w:rFonts w:ascii="Arial" w:eastAsia="Times New Roman" w:hAnsi="Arial" w:cs="Arial"/>
                <w:i/>
                <w:noProof/>
                <w:color w:val="000000"/>
                <w:lang w:eastAsia="en-GB"/>
              </w:rPr>
            </w:pPr>
            <w:r w:rsidRPr="001D50E3">
              <w:rPr>
                <w:rFonts w:ascii="Arial" w:eastAsia="Times New Roman" w:hAnsi="Arial" w:cs="Arial"/>
                <w:i/>
                <w:noProof/>
                <w:color w:val="000000"/>
                <w:lang w:eastAsia="en-GB"/>
              </w:rPr>
              <w:t>2.1 Zhvillimi i lëvizshmërisë kombëtare, rajonale dhe lokale të qëndrueshme, rezistente ndaj klimës, inteligjente dhe intermodale, duke përfshirë aksesin e përmirësuar në TEM-T dhe lëvizshmërinë ndërkufitare.</w:t>
            </w:r>
          </w:p>
        </w:tc>
        <w:tc>
          <w:tcPr>
            <w:tcW w:w="565" w:type="pct"/>
          </w:tcPr>
          <w:p w:rsidR="00FF2EC0" w:rsidRPr="001D50E3" w:rsidRDefault="00FF2EC0" w:rsidP="00754C28">
            <w:pPr>
              <w:spacing w:before="120" w:after="120" w:line="276" w:lineRule="auto"/>
              <w:jc w:val="both"/>
              <w:rPr>
                <w:rFonts w:ascii="Arial" w:eastAsia="Times New Roman" w:hAnsi="Arial" w:cs="Arial"/>
                <w:i/>
                <w:noProof/>
                <w:color w:val="000000"/>
                <w:lang w:eastAsia="en-GB"/>
              </w:rPr>
            </w:pPr>
            <w:r w:rsidRPr="001D50E3">
              <w:rPr>
                <w:rFonts w:ascii="Arial" w:eastAsia="Times New Roman" w:hAnsi="Arial" w:cs="Arial"/>
                <w:i/>
                <w:noProof/>
                <w:color w:val="000000"/>
                <w:lang w:eastAsia="en-GB"/>
              </w:rPr>
              <w:t>RCO116</w:t>
            </w:r>
          </w:p>
        </w:tc>
        <w:tc>
          <w:tcPr>
            <w:tcW w:w="856" w:type="pct"/>
            <w:shd w:val="clear" w:color="auto" w:fill="auto"/>
          </w:tcPr>
          <w:p w:rsidR="00FF2EC0" w:rsidRPr="001D50E3" w:rsidRDefault="00FF2EC0" w:rsidP="00754C28">
            <w:pPr>
              <w:spacing w:before="120" w:after="120" w:line="276" w:lineRule="auto"/>
              <w:jc w:val="both"/>
              <w:rPr>
                <w:rFonts w:ascii="Arial" w:eastAsia="Times New Roman" w:hAnsi="Arial" w:cs="Arial"/>
                <w:i/>
                <w:noProof/>
                <w:color w:val="000000"/>
                <w:lang w:val="en-US" w:eastAsia="en-GB"/>
              </w:rPr>
            </w:pPr>
            <w:r w:rsidRPr="001D50E3">
              <w:rPr>
                <w:rFonts w:ascii="Arial" w:eastAsia="Times New Roman" w:hAnsi="Arial" w:cs="Arial"/>
                <w:i/>
                <w:noProof/>
                <w:color w:val="000000"/>
                <w:lang w:eastAsia="en-GB"/>
              </w:rPr>
              <w:t>Zgjidhje e zhvilluar bashkërisht - Zhvillohet vendkalimi i ri kufitar rrugor - PGP</w:t>
            </w:r>
          </w:p>
        </w:tc>
        <w:tc>
          <w:tcPr>
            <w:tcW w:w="821" w:type="pct"/>
          </w:tcPr>
          <w:p w:rsidR="00FF2EC0" w:rsidRPr="001D50E3" w:rsidRDefault="00FF2EC0" w:rsidP="00754C28">
            <w:pPr>
              <w:spacing w:before="120" w:after="120" w:line="276" w:lineRule="auto"/>
              <w:jc w:val="both"/>
              <w:rPr>
                <w:rFonts w:ascii="Arial" w:eastAsia="Calibri" w:hAnsi="Arial" w:cs="Arial"/>
                <w:i/>
                <w:noProof/>
                <w:lang w:val="en-US"/>
              </w:rPr>
            </w:pPr>
            <w:r w:rsidRPr="001D50E3">
              <w:rPr>
                <w:rFonts w:ascii="Arial" w:eastAsia="Calibri" w:hAnsi="Arial" w:cs="Arial"/>
                <w:i/>
                <w:noProof/>
                <w:lang w:val="en-US"/>
              </w:rPr>
              <w:t>vendime</w:t>
            </w:r>
          </w:p>
        </w:tc>
        <w:tc>
          <w:tcPr>
            <w:tcW w:w="576" w:type="pct"/>
            <w:shd w:val="clear" w:color="auto" w:fill="auto"/>
          </w:tcPr>
          <w:p w:rsidR="00FF2EC0" w:rsidRPr="001D50E3" w:rsidRDefault="00FF2EC0" w:rsidP="00754C28">
            <w:pPr>
              <w:spacing w:before="120" w:after="120" w:line="276" w:lineRule="auto"/>
              <w:jc w:val="both"/>
              <w:rPr>
                <w:rFonts w:ascii="Arial" w:eastAsia="Calibri" w:hAnsi="Arial" w:cs="Arial"/>
                <w:i/>
                <w:noProof/>
              </w:rPr>
            </w:pPr>
            <w:r w:rsidRPr="001D50E3">
              <w:rPr>
                <w:rFonts w:ascii="Arial" w:eastAsia="Calibri" w:hAnsi="Arial" w:cs="Arial"/>
                <w:i/>
                <w:noProof/>
              </w:rPr>
              <w:t>0</w:t>
            </w:r>
          </w:p>
        </w:tc>
        <w:tc>
          <w:tcPr>
            <w:tcW w:w="492" w:type="pct"/>
            <w:shd w:val="clear" w:color="auto" w:fill="auto"/>
          </w:tcPr>
          <w:p w:rsidR="00FF2EC0" w:rsidRPr="001D50E3" w:rsidRDefault="00FF2EC0" w:rsidP="00754C28">
            <w:pPr>
              <w:spacing w:before="120" w:after="120" w:line="276" w:lineRule="auto"/>
              <w:jc w:val="both"/>
              <w:rPr>
                <w:rFonts w:ascii="Arial" w:eastAsia="Calibri" w:hAnsi="Arial" w:cs="Arial"/>
                <w:i/>
                <w:noProof/>
              </w:rPr>
            </w:pPr>
            <w:r w:rsidRPr="001D50E3">
              <w:rPr>
                <w:rFonts w:ascii="Arial" w:eastAsia="Calibri" w:hAnsi="Arial" w:cs="Arial"/>
                <w:i/>
                <w:noProof/>
              </w:rPr>
              <w:t>1</w:t>
            </w:r>
          </w:p>
        </w:tc>
      </w:tr>
    </w:tbl>
    <w:tbl>
      <w:tblPr>
        <w:tblpPr w:leftFromText="180" w:rightFromText="180" w:vertAnchor="text" w:horzAnchor="page" w:tblpX="687" w:tblpY="372"/>
        <w:tblW w:w="58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3"/>
        <w:gridCol w:w="1476"/>
        <w:gridCol w:w="832"/>
        <w:gridCol w:w="1195"/>
        <w:gridCol w:w="1107"/>
        <w:gridCol w:w="828"/>
        <w:gridCol w:w="737"/>
        <w:gridCol w:w="1015"/>
        <w:gridCol w:w="1290"/>
        <w:gridCol w:w="1382"/>
      </w:tblGrid>
      <w:tr w:rsidR="00FF2EC0" w:rsidRPr="001D50E3" w:rsidTr="00754C28">
        <w:trPr>
          <w:trHeight w:val="947"/>
        </w:trPr>
        <w:tc>
          <w:tcPr>
            <w:tcW w:w="626" w:type="pct"/>
          </w:tcPr>
          <w:p w:rsidR="00FF2EC0" w:rsidRPr="001D50E3" w:rsidRDefault="00FF2EC0" w:rsidP="00754C28">
            <w:pPr>
              <w:spacing w:before="120" w:after="120" w:line="276" w:lineRule="auto"/>
              <w:jc w:val="both"/>
              <w:rPr>
                <w:rFonts w:ascii="Arial" w:eastAsia="Calibri" w:hAnsi="Arial" w:cs="Arial"/>
                <w:b/>
                <w:noProof/>
              </w:rPr>
            </w:pPr>
            <w:r w:rsidRPr="001D50E3">
              <w:rPr>
                <w:rFonts w:ascii="Arial" w:eastAsia="Calibri" w:hAnsi="Arial" w:cs="Arial"/>
                <w:b/>
                <w:noProof/>
              </w:rPr>
              <w:t>Приоритет</w:t>
            </w:r>
          </w:p>
        </w:tc>
        <w:tc>
          <w:tcPr>
            <w:tcW w:w="654" w:type="pct"/>
          </w:tcPr>
          <w:p w:rsidR="00FF2EC0" w:rsidRPr="001D50E3" w:rsidRDefault="00FF2EC0" w:rsidP="00754C28">
            <w:pPr>
              <w:spacing w:before="120" w:after="120" w:line="276" w:lineRule="auto"/>
              <w:jc w:val="both"/>
              <w:rPr>
                <w:rFonts w:ascii="Arial" w:eastAsia="Calibri" w:hAnsi="Arial" w:cs="Arial"/>
                <w:b/>
                <w:noProof/>
              </w:rPr>
            </w:pPr>
            <w:r w:rsidRPr="001D50E3">
              <w:rPr>
                <w:rFonts w:ascii="Arial" w:eastAsia="Calibri" w:hAnsi="Arial" w:cs="Arial"/>
                <w:b/>
                <w:noProof/>
              </w:rPr>
              <w:t>Специ-фична цел</w:t>
            </w:r>
          </w:p>
        </w:tc>
        <w:tc>
          <w:tcPr>
            <w:tcW w:w="369" w:type="pct"/>
          </w:tcPr>
          <w:p w:rsidR="00FF2EC0" w:rsidRPr="001D50E3" w:rsidRDefault="00FF2EC0" w:rsidP="00754C28">
            <w:pPr>
              <w:spacing w:before="120" w:after="120" w:line="276" w:lineRule="auto"/>
              <w:jc w:val="both"/>
              <w:rPr>
                <w:rFonts w:ascii="Arial" w:eastAsia="Calibri" w:hAnsi="Arial" w:cs="Arial"/>
                <w:b/>
                <w:noProof/>
              </w:rPr>
            </w:pPr>
            <w:r w:rsidRPr="001D50E3">
              <w:rPr>
                <w:rFonts w:ascii="Arial" w:eastAsia="Calibri" w:hAnsi="Arial" w:cs="Arial"/>
                <w:b/>
                <w:noProof/>
              </w:rPr>
              <w:t>ID</w:t>
            </w:r>
          </w:p>
        </w:tc>
        <w:tc>
          <w:tcPr>
            <w:tcW w:w="530" w:type="pct"/>
            <w:shd w:val="clear" w:color="auto" w:fill="auto"/>
          </w:tcPr>
          <w:p w:rsidR="00FF2EC0" w:rsidRPr="001D50E3" w:rsidRDefault="00FF2EC0" w:rsidP="00754C28">
            <w:pPr>
              <w:spacing w:before="120" w:after="120" w:line="276" w:lineRule="auto"/>
              <w:jc w:val="both"/>
              <w:rPr>
                <w:rFonts w:ascii="Arial" w:eastAsia="Calibri" w:hAnsi="Arial" w:cs="Arial"/>
                <w:b/>
                <w:noProof/>
              </w:rPr>
            </w:pPr>
            <w:r w:rsidRPr="001D50E3">
              <w:rPr>
                <w:rFonts w:ascii="Arial" w:eastAsia="Calibri" w:hAnsi="Arial" w:cs="Arial"/>
                <w:b/>
                <w:noProof/>
              </w:rPr>
              <w:t>Индика-тор</w:t>
            </w:r>
          </w:p>
        </w:tc>
        <w:tc>
          <w:tcPr>
            <w:tcW w:w="491" w:type="pct"/>
          </w:tcPr>
          <w:p w:rsidR="00FF2EC0" w:rsidRPr="001D50E3" w:rsidRDefault="00FF2EC0" w:rsidP="00754C28">
            <w:pPr>
              <w:spacing w:before="120" w:after="120" w:line="276" w:lineRule="auto"/>
              <w:jc w:val="both"/>
              <w:rPr>
                <w:rFonts w:ascii="Arial" w:eastAsia="Calibri" w:hAnsi="Arial" w:cs="Arial"/>
                <w:b/>
                <w:noProof/>
              </w:rPr>
            </w:pPr>
            <w:r w:rsidRPr="001D50E3">
              <w:rPr>
                <w:rFonts w:ascii="Arial" w:eastAsia="Calibri" w:hAnsi="Arial" w:cs="Arial"/>
                <w:b/>
                <w:noProof/>
              </w:rPr>
              <w:t>Мерна единица</w:t>
            </w:r>
          </w:p>
        </w:tc>
        <w:tc>
          <w:tcPr>
            <w:tcW w:w="367" w:type="pct"/>
          </w:tcPr>
          <w:p w:rsidR="00FF2EC0" w:rsidRPr="001D50E3" w:rsidRDefault="00FF2EC0" w:rsidP="00754C28">
            <w:pPr>
              <w:spacing w:before="120" w:after="120" w:line="276" w:lineRule="auto"/>
              <w:jc w:val="both"/>
              <w:rPr>
                <w:rFonts w:ascii="Arial" w:eastAsia="Calibri" w:hAnsi="Arial" w:cs="Arial"/>
                <w:b/>
                <w:noProof/>
              </w:rPr>
            </w:pPr>
            <w:r w:rsidRPr="001D50E3">
              <w:rPr>
                <w:rFonts w:ascii="Arial" w:eastAsia="Calibri" w:hAnsi="Arial" w:cs="Arial"/>
                <w:b/>
                <w:noProof/>
              </w:rPr>
              <w:t>Основа</w:t>
            </w:r>
          </w:p>
        </w:tc>
        <w:tc>
          <w:tcPr>
            <w:tcW w:w="327" w:type="pct"/>
          </w:tcPr>
          <w:p w:rsidR="00FF2EC0" w:rsidRPr="001D50E3" w:rsidRDefault="00FF2EC0" w:rsidP="00754C28">
            <w:pPr>
              <w:spacing w:before="120" w:after="120" w:line="276" w:lineRule="auto"/>
              <w:jc w:val="both"/>
              <w:rPr>
                <w:rFonts w:ascii="Arial" w:eastAsia="Calibri" w:hAnsi="Arial" w:cs="Arial"/>
                <w:b/>
                <w:noProof/>
              </w:rPr>
            </w:pPr>
            <w:r w:rsidRPr="001D50E3">
              <w:rPr>
                <w:rFonts w:ascii="Arial" w:eastAsia="Calibri" w:hAnsi="Arial" w:cs="Arial"/>
                <w:b/>
                <w:noProof/>
              </w:rPr>
              <w:t>Ре-</w:t>
            </w:r>
          </w:p>
          <w:p w:rsidR="00FF2EC0" w:rsidRPr="001D50E3" w:rsidRDefault="00FF2EC0" w:rsidP="00754C28">
            <w:pPr>
              <w:spacing w:before="120" w:after="120" w:line="276" w:lineRule="auto"/>
              <w:jc w:val="both"/>
              <w:rPr>
                <w:rFonts w:ascii="Arial" w:eastAsia="Calibri" w:hAnsi="Arial" w:cs="Arial"/>
                <w:b/>
                <w:noProof/>
              </w:rPr>
            </w:pPr>
            <w:r w:rsidRPr="001D50E3">
              <w:rPr>
                <w:rFonts w:ascii="Arial" w:eastAsia="Calibri" w:hAnsi="Arial" w:cs="Arial"/>
                <w:b/>
                <w:noProof/>
              </w:rPr>
              <w:t>Фе- рен-тна го-дина</w:t>
            </w:r>
          </w:p>
        </w:tc>
        <w:tc>
          <w:tcPr>
            <w:tcW w:w="450" w:type="pct"/>
            <w:shd w:val="clear" w:color="auto" w:fill="auto"/>
          </w:tcPr>
          <w:p w:rsidR="00FF2EC0" w:rsidRPr="001D50E3" w:rsidRDefault="00FF2EC0" w:rsidP="00754C28">
            <w:pPr>
              <w:spacing w:before="120" w:after="120" w:line="276" w:lineRule="auto"/>
              <w:jc w:val="both"/>
              <w:rPr>
                <w:rFonts w:ascii="Arial" w:eastAsia="Calibri" w:hAnsi="Arial" w:cs="Arial"/>
                <w:b/>
                <w:noProof/>
              </w:rPr>
            </w:pPr>
            <w:r w:rsidRPr="001D50E3">
              <w:rPr>
                <w:rFonts w:ascii="Arial" w:eastAsia="Calibri" w:hAnsi="Arial" w:cs="Arial"/>
                <w:b/>
                <w:noProof/>
              </w:rPr>
              <w:t>Крајна цел (2029)</w:t>
            </w:r>
          </w:p>
        </w:tc>
        <w:tc>
          <w:tcPr>
            <w:tcW w:w="572" w:type="pct"/>
            <w:shd w:val="clear" w:color="auto" w:fill="auto"/>
          </w:tcPr>
          <w:p w:rsidR="00FF2EC0" w:rsidRPr="001D50E3" w:rsidRDefault="00FF2EC0" w:rsidP="00754C28">
            <w:pPr>
              <w:spacing w:before="120" w:after="120" w:line="276" w:lineRule="auto"/>
              <w:jc w:val="both"/>
              <w:rPr>
                <w:rFonts w:ascii="Arial" w:eastAsia="Calibri" w:hAnsi="Arial" w:cs="Arial"/>
                <w:b/>
                <w:noProof/>
              </w:rPr>
            </w:pPr>
            <w:r w:rsidRPr="001D50E3">
              <w:rPr>
                <w:rFonts w:ascii="Arial" w:eastAsia="Calibri" w:hAnsi="Arial" w:cs="Arial"/>
                <w:b/>
                <w:noProof/>
              </w:rPr>
              <w:t>Извор на податоци</w:t>
            </w:r>
          </w:p>
        </w:tc>
        <w:tc>
          <w:tcPr>
            <w:tcW w:w="613" w:type="pct"/>
          </w:tcPr>
          <w:p w:rsidR="00FF2EC0" w:rsidRPr="001D50E3" w:rsidRDefault="00FF2EC0" w:rsidP="00754C28">
            <w:pPr>
              <w:spacing w:before="120" w:after="120" w:line="276" w:lineRule="auto"/>
              <w:jc w:val="both"/>
              <w:rPr>
                <w:rFonts w:ascii="Arial" w:eastAsia="Calibri" w:hAnsi="Arial" w:cs="Arial"/>
                <w:b/>
                <w:noProof/>
              </w:rPr>
            </w:pPr>
            <w:r w:rsidRPr="001D50E3">
              <w:rPr>
                <w:rFonts w:ascii="Arial" w:eastAsia="Calibri" w:hAnsi="Arial" w:cs="Arial"/>
                <w:b/>
                <w:noProof/>
              </w:rPr>
              <w:t>Коментари</w:t>
            </w:r>
          </w:p>
        </w:tc>
      </w:tr>
      <w:tr w:rsidR="00FF2EC0" w:rsidRPr="001D50E3" w:rsidTr="00754C28">
        <w:trPr>
          <w:trHeight w:val="629"/>
        </w:trPr>
        <w:tc>
          <w:tcPr>
            <w:tcW w:w="626" w:type="pct"/>
          </w:tcPr>
          <w:p w:rsidR="00FF2EC0" w:rsidRPr="001D50E3" w:rsidRDefault="00FF2EC0" w:rsidP="00754C28">
            <w:pPr>
              <w:spacing w:before="120" w:after="120" w:line="276" w:lineRule="auto"/>
              <w:jc w:val="both"/>
              <w:rPr>
                <w:rFonts w:ascii="Arial" w:eastAsia="Times New Roman" w:hAnsi="Arial" w:cs="Arial"/>
                <w:i/>
                <w:noProof/>
                <w:color w:val="000000"/>
                <w:lang w:eastAsia="en-GB"/>
              </w:rPr>
            </w:pPr>
            <w:r w:rsidRPr="001D50E3">
              <w:rPr>
                <w:rFonts w:ascii="Arial" w:eastAsia="Times New Roman" w:hAnsi="Arial" w:cs="Arial"/>
                <w:i/>
                <w:noProof/>
                <w:color w:val="000000"/>
                <w:lang w:eastAsia="en-GB"/>
              </w:rPr>
              <w:t>Поповрзан пограни-чен регион</w:t>
            </w:r>
          </w:p>
        </w:tc>
        <w:tc>
          <w:tcPr>
            <w:tcW w:w="654" w:type="pct"/>
          </w:tcPr>
          <w:p w:rsidR="00FF2EC0" w:rsidRPr="001D50E3" w:rsidRDefault="00FF2EC0" w:rsidP="00754C28">
            <w:pPr>
              <w:spacing w:before="120" w:after="120" w:line="276" w:lineRule="auto"/>
              <w:jc w:val="both"/>
              <w:rPr>
                <w:rFonts w:ascii="Arial" w:eastAsia="Times New Roman" w:hAnsi="Arial" w:cs="Arial"/>
                <w:i/>
                <w:noProof/>
                <w:color w:val="000000"/>
                <w:lang w:eastAsia="en-GB"/>
              </w:rPr>
            </w:pPr>
            <w:r w:rsidRPr="001D50E3">
              <w:rPr>
                <w:rFonts w:ascii="Arial" w:eastAsia="Times New Roman" w:hAnsi="Arial" w:cs="Arial"/>
                <w:i/>
                <w:noProof/>
                <w:color w:val="000000"/>
                <w:lang w:eastAsia="en-GB"/>
              </w:rPr>
              <w:t xml:space="preserve">2.1.Развој на одржлива, отпорна на клима, интели-гентна и интермо-дална национал-на, регионална </w:t>
            </w:r>
            <w:r w:rsidRPr="001D50E3">
              <w:rPr>
                <w:rFonts w:ascii="Arial" w:eastAsia="Times New Roman" w:hAnsi="Arial" w:cs="Arial"/>
                <w:i/>
                <w:noProof/>
                <w:color w:val="000000"/>
                <w:lang w:eastAsia="en-GB"/>
              </w:rPr>
              <w:lastRenderedPageBreak/>
              <w:t>и локална мобилноствклучувајќи подобрен пристап до TEМ-T и прекугра-нична мобилнсот</w:t>
            </w:r>
          </w:p>
        </w:tc>
        <w:tc>
          <w:tcPr>
            <w:tcW w:w="369" w:type="pct"/>
          </w:tcPr>
          <w:p w:rsidR="00FF2EC0" w:rsidRPr="001D50E3" w:rsidRDefault="00FF2EC0" w:rsidP="00754C28">
            <w:pPr>
              <w:spacing w:before="120" w:after="120" w:line="276" w:lineRule="auto"/>
              <w:jc w:val="both"/>
              <w:rPr>
                <w:rFonts w:ascii="Arial" w:eastAsia="Calibri" w:hAnsi="Arial" w:cs="Arial"/>
                <w:i/>
                <w:noProof/>
              </w:rPr>
            </w:pPr>
            <w:r w:rsidRPr="001D50E3">
              <w:rPr>
                <w:rFonts w:ascii="Arial" w:eastAsia="Calibri" w:hAnsi="Arial" w:cs="Arial"/>
                <w:i/>
                <w:noProof/>
              </w:rPr>
              <w:lastRenderedPageBreak/>
              <w:t>RCR104</w:t>
            </w:r>
          </w:p>
        </w:tc>
        <w:tc>
          <w:tcPr>
            <w:tcW w:w="530" w:type="pct"/>
            <w:shd w:val="clear" w:color="auto" w:fill="auto"/>
          </w:tcPr>
          <w:p w:rsidR="00FF2EC0" w:rsidRPr="001D50E3" w:rsidRDefault="00FF2EC0" w:rsidP="00754C28">
            <w:pPr>
              <w:spacing w:before="120" w:after="120" w:line="276" w:lineRule="auto"/>
              <w:jc w:val="both"/>
              <w:rPr>
                <w:rFonts w:ascii="Arial" w:eastAsia="Times New Roman" w:hAnsi="Arial" w:cs="Arial"/>
                <w:i/>
                <w:noProof/>
                <w:color w:val="000000"/>
                <w:lang w:eastAsia="en-GB"/>
              </w:rPr>
            </w:pPr>
            <w:r w:rsidRPr="001D50E3">
              <w:rPr>
                <w:rFonts w:ascii="Arial" w:eastAsia="Times New Roman" w:hAnsi="Arial" w:cs="Arial"/>
                <w:i/>
                <w:noProof/>
                <w:color w:val="000000"/>
                <w:lang w:eastAsia="en-GB"/>
              </w:rPr>
              <w:t>Решени-ја презе-мени или зголе-мени од органи</w:t>
            </w:r>
          </w:p>
        </w:tc>
        <w:tc>
          <w:tcPr>
            <w:tcW w:w="491" w:type="pct"/>
          </w:tcPr>
          <w:p w:rsidR="00FF2EC0" w:rsidRPr="001D50E3" w:rsidRDefault="00FF2EC0" w:rsidP="00754C28">
            <w:pPr>
              <w:spacing w:before="120" w:after="120" w:line="276" w:lineRule="auto"/>
              <w:jc w:val="both"/>
              <w:rPr>
                <w:rFonts w:ascii="Arial" w:eastAsia="Times New Roman" w:hAnsi="Arial" w:cs="Arial"/>
                <w:i/>
                <w:noProof/>
                <w:color w:val="000000"/>
                <w:lang w:eastAsia="en-GB"/>
              </w:rPr>
            </w:pPr>
            <w:r w:rsidRPr="001D50E3">
              <w:rPr>
                <w:rFonts w:ascii="Arial" w:eastAsia="Times New Roman" w:hAnsi="Arial" w:cs="Arial"/>
                <w:i/>
                <w:noProof/>
                <w:color w:val="000000"/>
                <w:lang w:eastAsia="en-GB"/>
              </w:rPr>
              <w:t>Реше-нија</w:t>
            </w:r>
          </w:p>
        </w:tc>
        <w:tc>
          <w:tcPr>
            <w:tcW w:w="367" w:type="pct"/>
          </w:tcPr>
          <w:p w:rsidR="00FF2EC0" w:rsidRPr="001D50E3" w:rsidRDefault="00FF2EC0" w:rsidP="00754C28">
            <w:pPr>
              <w:spacing w:before="120" w:after="120" w:line="276" w:lineRule="auto"/>
              <w:jc w:val="both"/>
              <w:rPr>
                <w:rFonts w:ascii="Arial" w:eastAsia="Calibri" w:hAnsi="Arial" w:cs="Arial"/>
                <w:i/>
                <w:noProof/>
              </w:rPr>
            </w:pPr>
          </w:p>
        </w:tc>
        <w:tc>
          <w:tcPr>
            <w:tcW w:w="327" w:type="pct"/>
          </w:tcPr>
          <w:p w:rsidR="00FF2EC0" w:rsidRPr="001D50E3" w:rsidRDefault="00FF2EC0" w:rsidP="00754C28">
            <w:pPr>
              <w:spacing w:before="120" w:after="120" w:line="276" w:lineRule="auto"/>
              <w:jc w:val="both"/>
              <w:rPr>
                <w:rFonts w:ascii="Arial" w:eastAsia="Calibri" w:hAnsi="Arial" w:cs="Arial"/>
                <w:noProof/>
              </w:rPr>
            </w:pPr>
          </w:p>
        </w:tc>
        <w:tc>
          <w:tcPr>
            <w:tcW w:w="450" w:type="pct"/>
            <w:shd w:val="clear" w:color="auto" w:fill="auto"/>
          </w:tcPr>
          <w:p w:rsidR="00FF2EC0" w:rsidRPr="001D50E3" w:rsidRDefault="00FF2EC0" w:rsidP="00754C28">
            <w:pPr>
              <w:spacing w:before="120" w:after="120" w:line="276" w:lineRule="auto"/>
              <w:jc w:val="center"/>
              <w:rPr>
                <w:rFonts w:ascii="Arial" w:eastAsia="Calibri" w:hAnsi="Arial" w:cs="Arial"/>
                <w:i/>
                <w:noProof/>
              </w:rPr>
            </w:pPr>
            <w:r w:rsidRPr="001D50E3">
              <w:rPr>
                <w:rFonts w:ascii="Arial" w:eastAsia="Calibri" w:hAnsi="Arial" w:cs="Arial"/>
                <w:i/>
                <w:noProof/>
              </w:rPr>
              <w:t>1</w:t>
            </w:r>
          </w:p>
        </w:tc>
        <w:tc>
          <w:tcPr>
            <w:tcW w:w="572" w:type="pct"/>
            <w:shd w:val="clear" w:color="auto" w:fill="auto"/>
          </w:tcPr>
          <w:p w:rsidR="00FF2EC0" w:rsidRPr="001D50E3" w:rsidRDefault="00FF2EC0" w:rsidP="00754C28">
            <w:pPr>
              <w:spacing w:before="120" w:after="120" w:line="276" w:lineRule="auto"/>
              <w:jc w:val="both"/>
              <w:rPr>
                <w:rFonts w:ascii="Arial" w:eastAsia="Calibri" w:hAnsi="Arial" w:cs="Arial"/>
                <w:i/>
                <w:noProof/>
              </w:rPr>
            </w:pPr>
            <w:r w:rsidRPr="001D50E3">
              <w:rPr>
                <w:rFonts w:ascii="Arial" w:eastAsia="Calibri" w:hAnsi="Arial" w:cs="Arial"/>
                <w:i/>
                <w:noProof/>
              </w:rPr>
              <w:t>MA Мони-торинг систем на Управу-вачкиот Орган</w:t>
            </w:r>
          </w:p>
        </w:tc>
        <w:tc>
          <w:tcPr>
            <w:tcW w:w="613" w:type="pct"/>
          </w:tcPr>
          <w:p w:rsidR="00FF2EC0" w:rsidRPr="001D50E3" w:rsidRDefault="00FF2EC0" w:rsidP="00754C28">
            <w:pPr>
              <w:spacing w:line="276" w:lineRule="auto"/>
              <w:rPr>
                <w:rFonts w:ascii="Arial" w:eastAsia="Calibri" w:hAnsi="Arial" w:cs="Arial"/>
                <w:i/>
                <w:noProof/>
              </w:rPr>
            </w:pPr>
          </w:p>
        </w:tc>
      </w:tr>
    </w:tbl>
    <w:p w:rsidR="00FF2EC0" w:rsidRPr="001D50E3" w:rsidRDefault="00FF2EC0" w:rsidP="00FF2EC0">
      <w:pPr>
        <w:rPr>
          <w:rFonts w:ascii="Arial" w:hAnsi="Arial" w:cs="Arial"/>
        </w:rPr>
      </w:pPr>
    </w:p>
    <w:p w:rsidR="00FF2EC0" w:rsidRPr="00754C28" w:rsidRDefault="00FF2EC0" w:rsidP="00754C28">
      <w:pPr>
        <w:spacing w:before="240" w:after="240" w:line="276" w:lineRule="auto"/>
        <w:ind w:left="709" w:hanging="709"/>
        <w:jc w:val="both"/>
        <w:rPr>
          <w:rFonts w:ascii="Arial" w:eastAsia="Times New Roman" w:hAnsi="Arial" w:cs="Arial"/>
          <w:b/>
          <w:iCs/>
          <w:noProof/>
          <w:lang w:val="mk-MK" w:eastAsia="en-GB"/>
        </w:rPr>
      </w:pPr>
      <w:r w:rsidRPr="001D50E3">
        <w:rPr>
          <w:rFonts w:ascii="Arial" w:eastAsia="Times New Roman" w:hAnsi="Arial" w:cs="Arial"/>
          <w:b/>
          <w:iCs/>
          <w:noProof/>
          <w:lang w:eastAsia="en-GB"/>
        </w:rPr>
        <w:t>Tabela 3: Treguesit e rezultateve</w:t>
      </w:r>
    </w:p>
    <w:tbl>
      <w:tblPr>
        <w:tblpPr w:leftFromText="180" w:rightFromText="180" w:vertAnchor="text" w:horzAnchor="page" w:tblpX="721" w:tblpY="372"/>
        <w:tblW w:w="58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79"/>
        <w:gridCol w:w="1476"/>
        <w:gridCol w:w="830"/>
        <w:gridCol w:w="1196"/>
        <w:gridCol w:w="1108"/>
        <w:gridCol w:w="827"/>
        <w:gridCol w:w="737"/>
        <w:gridCol w:w="1014"/>
        <w:gridCol w:w="1290"/>
        <w:gridCol w:w="1383"/>
      </w:tblGrid>
      <w:tr w:rsidR="00FF2EC0" w:rsidRPr="001D50E3" w:rsidTr="00754C28">
        <w:trPr>
          <w:trHeight w:val="947"/>
        </w:trPr>
        <w:tc>
          <w:tcPr>
            <w:tcW w:w="613" w:type="pct"/>
          </w:tcPr>
          <w:p w:rsidR="00FF2EC0" w:rsidRPr="001D50E3" w:rsidRDefault="00FF2EC0" w:rsidP="00754C28">
            <w:pPr>
              <w:spacing w:before="120" w:after="120" w:line="276" w:lineRule="auto"/>
              <w:jc w:val="both"/>
              <w:rPr>
                <w:rFonts w:ascii="Arial" w:eastAsia="Calibri" w:hAnsi="Arial" w:cs="Arial"/>
                <w:b/>
                <w:noProof/>
                <w:lang w:val="en-US"/>
              </w:rPr>
            </w:pPr>
            <w:r w:rsidRPr="001D50E3">
              <w:rPr>
                <w:rFonts w:ascii="Arial" w:eastAsia="Calibri" w:hAnsi="Arial" w:cs="Arial"/>
                <w:b/>
                <w:noProof/>
                <w:lang w:val="en-US"/>
              </w:rPr>
              <w:t>Prioritetet</w:t>
            </w:r>
          </w:p>
        </w:tc>
        <w:tc>
          <w:tcPr>
            <w:tcW w:w="656" w:type="pct"/>
          </w:tcPr>
          <w:p w:rsidR="00FF2EC0" w:rsidRPr="001D50E3" w:rsidRDefault="00FF2EC0" w:rsidP="00754C28">
            <w:pPr>
              <w:spacing w:before="120" w:after="120" w:line="276" w:lineRule="auto"/>
              <w:jc w:val="both"/>
              <w:rPr>
                <w:rFonts w:ascii="Arial" w:eastAsia="Calibri" w:hAnsi="Arial" w:cs="Arial"/>
                <w:b/>
                <w:noProof/>
                <w:lang w:val="en-US"/>
              </w:rPr>
            </w:pPr>
            <w:r w:rsidRPr="001D50E3">
              <w:rPr>
                <w:rFonts w:ascii="Arial" w:eastAsia="Calibri" w:hAnsi="Arial" w:cs="Arial"/>
                <w:b/>
                <w:noProof/>
                <w:lang w:val="en-US"/>
              </w:rPr>
              <w:t>Qëllimi specifik</w:t>
            </w:r>
          </w:p>
        </w:tc>
        <w:tc>
          <w:tcPr>
            <w:tcW w:w="369" w:type="pct"/>
          </w:tcPr>
          <w:p w:rsidR="00FF2EC0" w:rsidRPr="001D50E3" w:rsidRDefault="00FF2EC0" w:rsidP="00754C28">
            <w:pPr>
              <w:spacing w:before="120" w:after="120" w:line="276" w:lineRule="auto"/>
              <w:jc w:val="both"/>
              <w:rPr>
                <w:rFonts w:ascii="Arial" w:eastAsia="Calibri" w:hAnsi="Arial" w:cs="Arial"/>
                <w:b/>
                <w:noProof/>
              </w:rPr>
            </w:pPr>
            <w:r w:rsidRPr="001D50E3">
              <w:rPr>
                <w:rFonts w:ascii="Arial" w:eastAsia="Calibri" w:hAnsi="Arial" w:cs="Arial"/>
                <w:b/>
                <w:noProof/>
              </w:rPr>
              <w:t>ID</w:t>
            </w:r>
          </w:p>
        </w:tc>
        <w:tc>
          <w:tcPr>
            <w:tcW w:w="532" w:type="pct"/>
            <w:shd w:val="clear" w:color="auto" w:fill="auto"/>
          </w:tcPr>
          <w:p w:rsidR="00FF2EC0" w:rsidRPr="001D50E3" w:rsidRDefault="00FF2EC0" w:rsidP="00754C28">
            <w:pPr>
              <w:spacing w:before="120" w:after="120" w:line="276" w:lineRule="auto"/>
              <w:jc w:val="both"/>
              <w:rPr>
                <w:rFonts w:ascii="Arial" w:eastAsia="Calibri" w:hAnsi="Arial" w:cs="Arial"/>
                <w:b/>
                <w:noProof/>
                <w:lang w:val="en-US"/>
              </w:rPr>
            </w:pPr>
            <w:r w:rsidRPr="001D50E3">
              <w:rPr>
                <w:rFonts w:ascii="Arial" w:eastAsia="Calibri" w:hAnsi="Arial" w:cs="Arial"/>
                <w:b/>
                <w:noProof/>
                <w:lang w:val="en-US"/>
              </w:rPr>
              <w:t>Indikatoret</w:t>
            </w:r>
          </w:p>
        </w:tc>
        <w:tc>
          <w:tcPr>
            <w:tcW w:w="493" w:type="pct"/>
          </w:tcPr>
          <w:p w:rsidR="00FF2EC0" w:rsidRPr="001D50E3" w:rsidRDefault="00FF2EC0" w:rsidP="00754C28">
            <w:pPr>
              <w:spacing w:before="120" w:after="120" w:line="276" w:lineRule="auto"/>
              <w:jc w:val="both"/>
              <w:rPr>
                <w:rFonts w:ascii="Arial" w:eastAsia="Calibri" w:hAnsi="Arial" w:cs="Arial"/>
                <w:b/>
                <w:noProof/>
                <w:lang w:val="en-US"/>
              </w:rPr>
            </w:pPr>
            <w:r w:rsidRPr="001D50E3">
              <w:rPr>
                <w:rFonts w:ascii="Arial" w:eastAsia="Calibri" w:hAnsi="Arial" w:cs="Arial"/>
                <w:b/>
                <w:noProof/>
                <w:lang w:val="en-US"/>
              </w:rPr>
              <w:t>Njesia matese</w:t>
            </w:r>
          </w:p>
        </w:tc>
        <w:tc>
          <w:tcPr>
            <w:tcW w:w="368" w:type="pct"/>
          </w:tcPr>
          <w:p w:rsidR="00FF2EC0" w:rsidRPr="001D50E3" w:rsidRDefault="00FF2EC0" w:rsidP="00754C28">
            <w:pPr>
              <w:spacing w:before="120" w:after="120" w:line="276" w:lineRule="auto"/>
              <w:jc w:val="both"/>
              <w:rPr>
                <w:rFonts w:ascii="Arial" w:eastAsia="Calibri" w:hAnsi="Arial" w:cs="Arial"/>
                <w:b/>
                <w:noProof/>
                <w:lang w:val="en-US"/>
              </w:rPr>
            </w:pPr>
            <w:r w:rsidRPr="001D50E3">
              <w:rPr>
                <w:rFonts w:ascii="Arial" w:eastAsia="Calibri" w:hAnsi="Arial" w:cs="Arial"/>
                <w:b/>
                <w:noProof/>
                <w:lang w:val="en-US"/>
              </w:rPr>
              <w:t>Baza</w:t>
            </w:r>
          </w:p>
        </w:tc>
        <w:tc>
          <w:tcPr>
            <w:tcW w:w="328" w:type="pct"/>
          </w:tcPr>
          <w:p w:rsidR="00FF2EC0" w:rsidRPr="001D50E3" w:rsidRDefault="00FF2EC0" w:rsidP="00754C28">
            <w:pPr>
              <w:spacing w:before="120" w:after="120" w:line="276" w:lineRule="auto"/>
              <w:jc w:val="both"/>
              <w:rPr>
                <w:rFonts w:ascii="Arial" w:eastAsia="Calibri" w:hAnsi="Arial" w:cs="Arial"/>
                <w:b/>
                <w:noProof/>
                <w:lang w:val="en-US"/>
              </w:rPr>
            </w:pPr>
            <w:r w:rsidRPr="001D50E3">
              <w:rPr>
                <w:rFonts w:ascii="Arial" w:eastAsia="Calibri" w:hAnsi="Arial" w:cs="Arial"/>
                <w:b/>
                <w:noProof/>
                <w:lang w:val="en-US"/>
              </w:rPr>
              <w:t>Viti referues</w:t>
            </w:r>
          </w:p>
        </w:tc>
        <w:tc>
          <w:tcPr>
            <w:tcW w:w="451" w:type="pct"/>
            <w:shd w:val="clear" w:color="auto" w:fill="auto"/>
          </w:tcPr>
          <w:p w:rsidR="00FF2EC0" w:rsidRPr="001D50E3" w:rsidRDefault="00FF2EC0" w:rsidP="00754C28">
            <w:pPr>
              <w:spacing w:before="120" w:after="120" w:line="276" w:lineRule="auto"/>
              <w:jc w:val="both"/>
              <w:rPr>
                <w:rFonts w:ascii="Arial" w:eastAsia="Calibri" w:hAnsi="Arial" w:cs="Arial"/>
                <w:b/>
                <w:noProof/>
              </w:rPr>
            </w:pPr>
            <w:r w:rsidRPr="001D50E3">
              <w:rPr>
                <w:rFonts w:ascii="Arial" w:eastAsia="Calibri" w:hAnsi="Arial" w:cs="Arial"/>
                <w:b/>
                <w:noProof/>
                <w:lang w:val="en-US"/>
              </w:rPr>
              <w:t>Qellimi përfundimtar</w:t>
            </w:r>
            <w:r w:rsidRPr="001D50E3">
              <w:rPr>
                <w:rFonts w:ascii="Arial" w:eastAsia="Calibri" w:hAnsi="Arial" w:cs="Arial"/>
                <w:b/>
                <w:noProof/>
              </w:rPr>
              <w:t xml:space="preserve"> (2029)</w:t>
            </w:r>
          </w:p>
        </w:tc>
        <w:tc>
          <w:tcPr>
            <w:tcW w:w="574" w:type="pct"/>
            <w:shd w:val="clear" w:color="auto" w:fill="auto"/>
          </w:tcPr>
          <w:p w:rsidR="00FF2EC0" w:rsidRPr="001D50E3" w:rsidRDefault="00FF2EC0" w:rsidP="00754C28">
            <w:pPr>
              <w:spacing w:before="120" w:after="120" w:line="276" w:lineRule="auto"/>
              <w:jc w:val="both"/>
              <w:rPr>
                <w:rFonts w:ascii="Arial" w:eastAsia="Calibri" w:hAnsi="Arial" w:cs="Arial"/>
                <w:b/>
                <w:noProof/>
              </w:rPr>
            </w:pPr>
            <w:r w:rsidRPr="001D50E3">
              <w:rPr>
                <w:rFonts w:ascii="Arial" w:eastAsia="Calibri" w:hAnsi="Arial" w:cs="Arial"/>
                <w:b/>
                <w:noProof/>
              </w:rPr>
              <w:t>Burim i të dhënave</w:t>
            </w:r>
          </w:p>
        </w:tc>
        <w:tc>
          <w:tcPr>
            <w:tcW w:w="615" w:type="pct"/>
          </w:tcPr>
          <w:p w:rsidR="00FF2EC0" w:rsidRPr="001D50E3" w:rsidRDefault="00FF2EC0" w:rsidP="00754C28">
            <w:pPr>
              <w:spacing w:before="120" w:after="120" w:line="276" w:lineRule="auto"/>
              <w:jc w:val="both"/>
              <w:rPr>
                <w:rFonts w:ascii="Arial" w:eastAsia="Calibri" w:hAnsi="Arial" w:cs="Arial"/>
                <w:b/>
                <w:noProof/>
                <w:lang w:val="en-US"/>
              </w:rPr>
            </w:pPr>
            <w:r w:rsidRPr="001D50E3">
              <w:rPr>
                <w:rFonts w:ascii="Arial" w:eastAsia="Calibri" w:hAnsi="Arial" w:cs="Arial"/>
                <w:b/>
                <w:noProof/>
                <w:lang w:val="en-US"/>
              </w:rPr>
              <w:t>Komentet</w:t>
            </w:r>
          </w:p>
        </w:tc>
      </w:tr>
      <w:tr w:rsidR="00FF2EC0" w:rsidRPr="001D50E3" w:rsidTr="00754C28">
        <w:trPr>
          <w:trHeight w:val="629"/>
        </w:trPr>
        <w:tc>
          <w:tcPr>
            <w:tcW w:w="613" w:type="pct"/>
          </w:tcPr>
          <w:p w:rsidR="00FF2EC0" w:rsidRPr="001D50E3" w:rsidRDefault="00FF2EC0" w:rsidP="00754C28">
            <w:pPr>
              <w:spacing w:before="120" w:after="120" w:line="276" w:lineRule="auto"/>
              <w:jc w:val="both"/>
              <w:rPr>
                <w:rFonts w:ascii="Arial" w:eastAsia="Times New Roman" w:hAnsi="Arial" w:cs="Arial"/>
                <w:i/>
                <w:noProof/>
                <w:color w:val="000000"/>
                <w:lang w:eastAsia="en-GB"/>
              </w:rPr>
            </w:pPr>
            <w:r w:rsidRPr="001D50E3">
              <w:rPr>
                <w:rFonts w:ascii="Arial" w:eastAsia="Times New Roman" w:hAnsi="Arial" w:cs="Arial"/>
                <w:i/>
                <w:noProof/>
                <w:color w:val="000000"/>
                <w:lang w:eastAsia="en-GB"/>
              </w:rPr>
              <w:t>Rajoni kufitar më i lidhur</w:t>
            </w:r>
          </w:p>
        </w:tc>
        <w:tc>
          <w:tcPr>
            <w:tcW w:w="656" w:type="pct"/>
          </w:tcPr>
          <w:p w:rsidR="00FF2EC0" w:rsidRPr="001D50E3" w:rsidRDefault="00FF2EC0" w:rsidP="00754C28">
            <w:pPr>
              <w:spacing w:before="120" w:after="120" w:line="276" w:lineRule="auto"/>
              <w:jc w:val="both"/>
              <w:rPr>
                <w:rFonts w:ascii="Arial" w:eastAsia="Times New Roman" w:hAnsi="Arial" w:cs="Arial"/>
                <w:i/>
                <w:noProof/>
                <w:color w:val="000000"/>
                <w:lang w:eastAsia="en-GB"/>
              </w:rPr>
            </w:pPr>
            <w:r w:rsidRPr="001D50E3">
              <w:rPr>
                <w:rFonts w:ascii="Arial" w:eastAsia="Times New Roman" w:hAnsi="Arial" w:cs="Arial"/>
                <w:i/>
                <w:noProof/>
                <w:color w:val="000000"/>
                <w:lang w:eastAsia="en-GB"/>
              </w:rPr>
              <w:t>2.1 Zhvillimi i lëvizshmërisë së qëndrueshme, rezistente ndaj klimës, inteligjente dhe e ndërmjetme kombëtare, rajonale dhe lokale, duke përfshirë aksesin e përmirësuar në TEM-T dhe lëvizshmërinë ndërkufitare</w:t>
            </w:r>
          </w:p>
        </w:tc>
        <w:tc>
          <w:tcPr>
            <w:tcW w:w="369" w:type="pct"/>
          </w:tcPr>
          <w:p w:rsidR="00FF2EC0" w:rsidRPr="001D50E3" w:rsidRDefault="00FF2EC0" w:rsidP="00754C28">
            <w:pPr>
              <w:spacing w:before="120" w:after="120" w:line="276" w:lineRule="auto"/>
              <w:jc w:val="both"/>
              <w:rPr>
                <w:rFonts w:ascii="Arial" w:eastAsia="Calibri" w:hAnsi="Arial" w:cs="Arial"/>
                <w:i/>
                <w:noProof/>
              </w:rPr>
            </w:pPr>
            <w:r w:rsidRPr="001D50E3">
              <w:rPr>
                <w:rFonts w:ascii="Arial" w:eastAsia="Calibri" w:hAnsi="Arial" w:cs="Arial"/>
                <w:i/>
                <w:noProof/>
              </w:rPr>
              <w:t>RCR104</w:t>
            </w:r>
          </w:p>
        </w:tc>
        <w:tc>
          <w:tcPr>
            <w:tcW w:w="532" w:type="pct"/>
            <w:shd w:val="clear" w:color="auto" w:fill="auto"/>
          </w:tcPr>
          <w:p w:rsidR="00FF2EC0" w:rsidRPr="001D50E3" w:rsidRDefault="00FF2EC0" w:rsidP="00754C28">
            <w:pPr>
              <w:spacing w:before="120" w:after="120" w:line="276" w:lineRule="auto"/>
              <w:jc w:val="both"/>
              <w:rPr>
                <w:rFonts w:ascii="Arial" w:eastAsia="Times New Roman" w:hAnsi="Arial" w:cs="Arial"/>
                <w:i/>
                <w:noProof/>
                <w:color w:val="000000"/>
                <w:lang w:eastAsia="en-GB"/>
              </w:rPr>
            </w:pPr>
            <w:r w:rsidRPr="001D50E3">
              <w:rPr>
                <w:rFonts w:ascii="Arial" w:eastAsia="Times New Roman" w:hAnsi="Arial" w:cs="Arial"/>
                <w:i/>
                <w:noProof/>
                <w:color w:val="000000"/>
                <w:lang w:eastAsia="en-GB"/>
              </w:rPr>
              <w:t>Menyja e zgjidh-shkarkuar ose menyja e zgjeruar sipas organeve</w:t>
            </w:r>
          </w:p>
        </w:tc>
        <w:tc>
          <w:tcPr>
            <w:tcW w:w="493" w:type="pct"/>
          </w:tcPr>
          <w:p w:rsidR="00FF2EC0" w:rsidRPr="001D50E3" w:rsidRDefault="00FF2EC0" w:rsidP="00754C28">
            <w:pPr>
              <w:spacing w:before="120" w:after="120" w:line="276" w:lineRule="auto"/>
              <w:jc w:val="both"/>
              <w:rPr>
                <w:rFonts w:ascii="Arial" w:eastAsia="Times New Roman" w:hAnsi="Arial" w:cs="Arial"/>
                <w:i/>
                <w:noProof/>
                <w:color w:val="000000"/>
                <w:lang w:val="en-US" w:eastAsia="en-GB"/>
              </w:rPr>
            </w:pPr>
            <w:r w:rsidRPr="001D50E3">
              <w:rPr>
                <w:rFonts w:ascii="Arial" w:eastAsia="Times New Roman" w:hAnsi="Arial" w:cs="Arial"/>
                <w:i/>
                <w:noProof/>
                <w:color w:val="000000"/>
                <w:lang w:val="en-US" w:eastAsia="en-GB"/>
              </w:rPr>
              <w:t>Vendimet</w:t>
            </w:r>
          </w:p>
        </w:tc>
        <w:tc>
          <w:tcPr>
            <w:tcW w:w="368" w:type="pct"/>
          </w:tcPr>
          <w:p w:rsidR="00FF2EC0" w:rsidRPr="001D50E3" w:rsidRDefault="00FF2EC0" w:rsidP="00754C28">
            <w:pPr>
              <w:spacing w:before="120" w:after="120" w:line="276" w:lineRule="auto"/>
              <w:jc w:val="both"/>
              <w:rPr>
                <w:rFonts w:ascii="Arial" w:eastAsia="Calibri" w:hAnsi="Arial" w:cs="Arial"/>
                <w:i/>
                <w:noProof/>
              </w:rPr>
            </w:pPr>
          </w:p>
        </w:tc>
        <w:tc>
          <w:tcPr>
            <w:tcW w:w="328" w:type="pct"/>
          </w:tcPr>
          <w:p w:rsidR="00FF2EC0" w:rsidRPr="001D50E3" w:rsidRDefault="00FF2EC0" w:rsidP="00754C28">
            <w:pPr>
              <w:spacing w:before="120" w:after="120" w:line="276" w:lineRule="auto"/>
              <w:jc w:val="both"/>
              <w:rPr>
                <w:rFonts w:ascii="Arial" w:eastAsia="Calibri" w:hAnsi="Arial" w:cs="Arial"/>
                <w:noProof/>
              </w:rPr>
            </w:pPr>
          </w:p>
        </w:tc>
        <w:tc>
          <w:tcPr>
            <w:tcW w:w="451" w:type="pct"/>
            <w:shd w:val="clear" w:color="auto" w:fill="auto"/>
          </w:tcPr>
          <w:p w:rsidR="00FF2EC0" w:rsidRPr="001D50E3" w:rsidRDefault="00FF2EC0" w:rsidP="00754C28">
            <w:pPr>
              <w:spacing w:before="120" w:after="120" w:line="276" w:lineRule="auto"/>
              <w:jc w:val="both"/>
              <w:rPr>
                <w:rFonts w:ascii="Arial" w:eastAsia="Calibri" w:hAnsi="Arial" w:cs="Arial"/>
                <w:i/>
                <w:noProof/>
              </w:rPr>
            </w:pPr>
            <w:r w:rsidRPr="001D50E3">
              <w:rPr>
                <w:rFonts w:ascii="Arial" w:eastAsia="Calibri" w:hAnsi="Arial" w:cs="Arial"/>
                <w:i/>
                <w:noProof/>
              </w:rPr>
              <w:t>1</w:t>
            </w:r>
          </w:p>
        </w:tc>
        <w:tc>
          <w:tcPr>
            <w:tcW w:w="574" w:type="pct"/>
            <w:shd w:val="clear" w:color="auto" w:fill="auto"/>
          </w:tcPr>
          <w:p w:rsidR="00FF2EC0" w:rsidRPr="001D50E3" w:rsidRDefault="00FF2EC0" w:rsidP="00754C28">
            <w:pPr>
              <w:spacing w:before="120" w:after="120" w:line="276" w:lineRule="auto"/>
              <w:jc w:val="both"/>
              <w:rPr>
                <w:rFonts w:ascii="Arial" w:eastAsia="Calibri" w:hAnsi="Arial" w:cs="Arial"/>
                <w:i/>
                <w:noProof/>
              </w:rPr>
            </w:pPr>
            <w:r w:rsidRPr="001D50E3">
              <w:rPr>
                <w:rFonts w:ascii="Arial" w:eastAsia="Calibri" w:hAnsi="Arial" w:cs="Arial"/>
                <w:i/>
                <w:noProof/>
              </w:rPr>
              <w:t>MA Sistemi i Monitorimit të Trupit Drejtues</w:t>
            </w:r>
          </w:p>
        </w:tc>
        <w:tc>
          <w:tcPr>
            <w:tcW w:w="615" w:type="pct"/>
          </w:tcPr>
          <w:p w:rsidR="00FF2EC0" w:rsidRPr="001D50E3" w:rsidRDefault="00FF2EC0" w:rsidP="00754C28">
            <w:pPr>
              <w:spacing w:line="276" w:lineRule="auto"/>
              <w:jc w:val="both"/>
              <w:rPr>
                <w:rFonts w:ascii="Arial" w:eastAsia="Calibri" w:hAnsi="Arial" w:cs="Arial"/>
                <w:i/>
                <w:noProof/>
              </w:rPr>
            </w:pPr>
          </w:p>
        </w:tc>
      </w:tr>
    </w:tbl>
    <w:p w:rsidR="00FF2EC0" w:rsidRPr="001D50E3" w:rsidRDefault="00FF2EC0" w:rsidP="00754C28">
      <w:pPr>
        <w:spacing w:line="276" w:lineRule="auto"/>
        <w:jc w:val="both"/>
        <w:rPr>
          <w:rFonts w:ascii="Arial" w:hAnsi="Arial" w:cs="Arial"/>
        </w:rPr>
      </w:pPr>
    </w:p>
    <w:p w:rsidR="00FF2EC0" w:rsidRPr="001D50E3" w:rsidRDefault="00FF2EC0" w:rsidP="00754C28">
      <w:pPr>
        <w:spacing w:before="240" w:after="240" w:line="276" w:lineRule="auto"/>
        <w:ind w:left="709" w:hanging="709"/>
        <w:jc w:val="both"/>
        <w:rPr>
          <w:rFonts w:ascii="Arial" w:eastAsia="Times New Roman" w:hAnsi="Arial" w:cs="Arial"/>
          <w:iCs/>
          <w:noProof/>
          <w:lang w:eastAsia="en-GB"/>
        </w:rPr>
      </w:pPr>
    </w:p>
    <w:p w:rsidR="00FF2EC0" w:rsidRPr="001D50E3" w:rsidRDefault="00FF2EC0" w:rsidP="00754C28">
      <w:pPr>
        <w:spacing w:before="240" w:after="240" w:line="276" w:lineRule="auto"/>
        <w:ind w:left="709" w:hanging="709"/>
        <w:jc w:val="both"/>
        <w:rPr>
          <w:rFonts w:ascii="Arial" w:eastAsia="Times New Roman" w:hAnsi="Arial" w:cs="Arial"/>
          <w:iCs/>
          <w:noProof/>
          <w:lang w:val="en-US" w:eastAsia="en-GB"/>
        </w:rPr>
      </w:pPr>
    </w:p>
    <w:p w:rsidR="00FF2EC0" w:rsidRPr="001D50E3" w:rsidRDefault="00FF2EC0" w:rsidP="00754C28">
      <w:pPr>
        <w:spacing w:line="276" w:lineRule="auto"/>
        <w:jc w:val="both"/>
        <w:rPr>
          <w:rFonts w:ascii="Arial" w:hAnsi="Arial" w:cs="Arial"/>
          <w:b/>
          <w:lang w:val="en-US"/>
        </w:rPr>
      </w:pPr>
      <w:r w:rsidRPr="001D50E3">
        <w:rPr>
          <w:rFonts w:ascii="Arial" w:hAnsi="Arial" w:cs="Arial"/>
          <w:b/>
          <w:lang w:val="en-US"/>
        </w:rPr>
        <w:lastRenderedPageBreak/>
        <w:t>2.2.4. Grupet kryesore të synuara</w:t>
      </w:r>
    </w:p>
    <w:p w:rsidR="00FF2EC0" w:rsidRPr="001D50E3" w:rsidRDefault="00FF2EC0" w:rsidP="00754C28">
      <w:pPr>
        <w:spacing w:line="276" w:lineRule="auto"/>
        <w:jc w:val="both"/>
        <w:rPr>
          <w:rFonts w:ascii="Arial" w:hAnsi="Arial" w:cs="Arial"/>
          <w:b/>
          <w:lang w:val="en-US"/>
        </w:rPr>
      </w:pPr>
      <w:r w:rsidRPr="001D50E3">
        <w:rPr>
          <w:rFonts w:ascii="Arial" w:hAnsi="Arial" w:cs="Arial"/>
          <w:b/>
          <w:lang w:val="en-US"/>
        </w:rPr>
        <w:t>Referenca: Neni 17 (3) (e) (iii), (c) (iv) Neni 17 (9)</w:t>
      </w:r>
    </w:p>
    <w:p w:rsidR="00FF2EC0" w:rsidRPr="001D50E3" w:rsidRDefault="00FF2EC0" w:rsidP="00754C28">
      <w:pPr>
        <w:spacing w:line="276" w:lineRule="auto"/>
        <w:jc w:val="both"/>
        <w:rPr>
          <w:rFonts w:ascii="Arial" w:hAnsi="Arial" w:cs="Arial"/>
          <w:b/>
          <w:lang w:val="en-US"/>
        </w:rPr>
      </w:pPr>
    </w:p>
    <w:tbl>
      <w:tblPr>
        <w:tblStyle w:val="TableGrid"/>
        <w:tblW w:w="0" w:type="auto"/>
        <w:tblLook w:val="04A0" w:firstRow="1" w:lastRow="0" w:firstColumn="1" w:lastColumn="0" w:noHBand="0" w:noVBand="1"/>
      </w:tblPr>
      <w:tblGrid>
        <w:gridCol w:w="9242"/>
      </w:tblGrid>
      <w:tr w:rsidR="00FF2EC0" w:rsidRPr="001D50E3" w:rsidTr="00754C28">
        <w:tc>
          <w:tcPr>
            <w:tcW w:w="9242" w:type="dxa"/>
          </w:tcPr>
          <w:p w:rsidR="00FF2EC0" w:rsidRPr="001D50E3" w:rsidRDefault="00FF2EC0" w:rsidP="00754C28">
            <w:pPr>
              <w:spacing w:line="276" w:lineRule="auto"/>
              <w:jc w:val="both"/>
              <w:rPr>
                <w:rFonts w:ascii="Arial" w:hAnsi="Arial" w:cs="Arial"/>
                <w:lang w:val="en-US"/>
              </w:rPr>
            </w:pPr>
            <w:r w:rsidRPr="001D50E3">
              <w:rPr>
                <w:rFonts w:ascii="Arial" w:hAnsi="Arial" w:cs="Arial"/>
                <w:lang w:val="en-US"/>
              </w:rPr>
              <w:t>Kutia e tekstit [7000]</w:t>
            </w:r>
          </w:p>
          <w:p w:rsidR="00FF2EC0" w:rsidRPr="001D50E3" w:rsidRDefault="00FF2EC0" w:rsidP="00754C28">
            <w:pPr>
              <w:spacing w:line="276" w:lineRule="auto"/>
              <w:jc w:val="both"/>
              <w:rPr>
                <w:rFonts w:ascii="Arial" w:hAnsi="Arial" w:cs="Arial"/>
                <w:lang w:val="en-US"/>
              </w:rPr>
            </w:pPr>
            <w:r w:rsidRPr="001D50E3">
              <w:rPr>
                <w:rFonts w:ascii="Arial" w:hAnsi="Arial" w:cs="Arial"/>
                <w:lang w:val="en-US"/>
              </w:rPr>
              <w:t>Grupet e synuara:Banorët, vizitorët dhe bizneset në fushën e bashkëpunimit ndërkufitar</w:t>
            </w:r>
          </w:p>
          <w:p w:rsidR="00FF2EC0" w:rsidRPr="001D50E3" w:rsidRDefault="00FF2EC0" w:rsidP="00754C28">
            <w:pPr>
              <w:spacing w:line="276" w:lineRule="auto"/>
              <w:jc w:val="both"/>
              <w:rPr>
                <w:rFonts w:ascii="Arial" w:hAnsi="Arial" w:cs="Arial"/>
                <w:lang w:val="en-US"/>
              </w:rPr>
            </w:pPr>
          </w:p>
        </w:tc>
      </w:tr>
    </w:tbl>
    <w:p w:rsidR="00FF2EC0" w:rsidRPr="001D50E3" w:rsidRDefault="00FF2EC0" w:rsidP="00754C28">
      <w:pPr>
        <w:spacing w:line="276" w:lineRule="auto"/>
        <w:jc w:val="both"/>
        <w:rPr>
          <w:rFonts w:ascii="Arial" w:hAnsi="Arial" w:cs="Arial"/>
          <w:lang w:val="en-US"/>
        </w:rPr>
      </w:pPr>
    </w:p>
    <w:p w:rsidR="00FF2EC0" w:rsidRPr="001D50E3" w:rsidRDefault="00FF2EC0" w:rsidP="00754C28">
      <w:pPr>
        <w:spacing w:line="276" w:lineRule="auto"/>
        <w:jc w:val="both"/>
        <w:rPr>
          <w:rFonts w:ascii="Arial" w:hAnsi="Arial" w:cs="Arial"/>
          <w:lang w:val="en-US"/>
        </w:rPr>
      </w:pPr>
      <w:r w:rsidRPr="001D50E3">
        <w:rPr>
          <w:rFonts w:ascii="Arial" w:hAnsi="Arial" w:cs="Arial"/>
          <w:lang w:val="en-US"/>
        </w:rPr>
        <w:t>2.2.5. Tregimi i territoreve specifike që do të synohen, duke përfshirë përdorimin e planifikuar të Investimeve të Integruara Territoriale - ITI, Zhvillimi Lokal i udhëhequr nga Komuniteti (CLLD) ose mjete të tjera territoriale</w:t>
      </w:r>
    </w:p>
    <w:p w:rsidR="00FF2EC0" w:rsidRPr="001D50E3" w:rsidRDefault="00FF2EC0" w:rsidP="00754C28">
      <w:pPr>
        <w:spacing w:line="276" w:lineRule="auto"/>
        <w:jc w:val="both"/>
        <w:rPr>
          <w:rFonts w:ascii="Arial" w:hAnsi="Arial" w:cs="Arial"/>
          <w:lang w:val="en-US"/>
        </w:rPr>
      </w:pPr>
      <w:r w:rsidRPr="001D50E3">
        <w:rPr>
          <w:rFonts w:ascii="Arial" w:hAnsi="Arial" w:cs="Arial"/>
          <w:lang w:val="en-US"/>
        </w:rPr>
        <w:t>Referenca: Neni pika (e) (iv) e 17 (3)</w:t>
      </w:r>
    </w:p>
    <w:p w:rsidR="00FF2EC0" w:rsidRPr="001D50E3" w:rsidRDefault="00FF2EC0" w:rsidP="00754C28">
      <w:pPr>
        <w:spacing w:line="276" w:lineRule="auto"/>
        <w:jc w:val="both"/>
        <w:rPr>
          <w:rFonts w:ascii="Arial" w:hAnsi="Arial" w:cs="Arial"/>
          <w:lang w:val="en-US"/>
        </w:rPr>
      </w:pPr>
    </w:p>
    <w:tbl>
      <w:tblPr>
        <w:tblStyle w:val="TableGrid"/>
        <w:tblW w:w="0" w:type="auto"/>
        <w:tblLook w:val="04A0" w:firstRow="1" w:lastRow="0" w:firstColumn="1" w:lastColumn="0" w:noHBand="0" w:noVBand="1"/>
      </w:tblPr>
      <w:tblGrid>
        <w:gridCol w:w="9242"/>
      </w:tblGrid>
      <w:tr w:rsidR="00FF2EC0" w:rsidRPr="001D50E3" w:rsidTr="00754C28">
        <w:tc>
          <w:tcPr>
            <w:tcW w:w="9242" w:type="dxa"/>
          </w:tcPr>
          <w:p w:rsidR="00FF2EC0" w:rsidRPr="001D50E3" w:rsidRDefault="00FF2EC0" w:rsidP="00754C28">
            <w:pPr>
              <w:spacing w:line="276" w:lineRule="auto"/>
              <w:jc w:val="both"/>
              <w:rPr>
                <w:rFonts w:ascii="Arial" w:hAnsi="Arial" w:cs="Arial"/>
                <w:lang w:val="en-US"/>
              </w:rPr>
            </w:pPr>
            <w:r w:rsidRPr="001D50E3">
              <w:rPr>
                <w:rFonts w:ascii="Arial" w:hAnsi="Arial" w:cs="Arial"/>
                <w:lang w:val="en-US"/>
              </w:rPr>
              <w:t>Kutia e tekstit [7000]</w:t>
            </w:r>
          </w:p>
          <w:p w:rsidR="00FF2EC0" w:rsidRPr="001D50E3" w:rsidRDefault="00FF2EC0" w:rsidP="00754C28">
            <w:pPr>
              <w:spacing w:line="276" w:lineRule="auto"/>
              <w:jc w:val="both"/>
              <w:rPr>
                <w:rFonts w:ascii="Arial" w:hAnsi="Arial" w:cs="Arial"/>
                <w:lang w:val="en-US"/>
              </w:rPr>
            </w:pPr>
            <w:r w:rsidRPr="001D50E3">
              <w:rPr>
                <w:rFonts w:ascii="Arial" w:hAnsi="Arial" w:cs="Arial"/>
                <w:lang w:val="en-US"/>
              </w:rPr>
              <w:t>Nuk aplikohet</w:t>
            </w:r>
          </w:p>
          <w:p w:rsidR="00FF2EC0" w:rsidRPr="001D50E3" w:rsidRDefault="00FF2EC0" w:rsidP="00754C28">
            <w:pPr>
              <w:spacing w:line="276" w:lineRule="auto"/>
              <w:jc w:val="both"/>
              <w:rPr>
                <w:rFonts w:ascii="Arial" w:hAnsi="Arial" w:cs="Arial"/>
                <w:lang w:val="en-US"/>
              </w:rPr>
            </w:pPr>
          </w:p>
        </w:tc>
      </w:tr>
    </w:tbl>
    <w:p w:rsidR="00FF2EC0" w:rsidRPr="001D50E3" w:rsidRDefault="00FF2EC0" w:rsidP="00754C28">
      <w:pPr>
        <w:spacing w:line="276" w:lineRule="auto"/>
        <w:jc w:val="both"/>
        <w:rPr>
          <w:rFonts w:ascii="Arial" w:hAnsi="Arial" w:cs="Arial"/>
          <w:b/>
          <w:lang w:val="en-US"/>
        </w:rPr>
      </w:pPr>
    </w:p>
    <w:p w:rsidR="00FF2EC0" w:rsidRPr="001D50E3" w:rsidRDefault="00FF2EC0" w:rsidP="00754C28">
      <w:pPr>
        <w:spacing w:line="276" w:lineRule="auto"/>
        <w:jc w:val="both"/>
        <w:rPr>
          <w:rFonts w:ascii="Arial" w:hAnsi="Arial" w:cs="Arial"/>
          <w:b/>
          <w:lang w:val="en-US"/>
        </w:rPr>
      </w:pPr>
      <w:r w:rsidRPr="001D50E3">
        <w:rPr>
          <w:rFonts w:ascii="Arial" w:hAnsi="Arial" w:cs="Arial"/>
          <w:b/>
          <w:lang w:val="en-US"/>
        </w:rPr>
        <w:t>2.2.6. Përdorimi i planifikuar i instrumenteve financiare</w:t>
      </w:r>
    </w:p>
    <w:p w:rsidR="00FF2EC0" w:rsidRPr="001D50E3" w:rsidRDefault="00FF2EC0" w:rsidP="00754C28">
      <w:pPr>
        <w:spacing w:line="276" w:lineRule="auto"/>
        <w:jc w:val="both"/>
        <w:rPr>
          <w:rFonts w:ascii="Arial" w:hAnsi="Arial" w:cs="Arial"/>
          <w:b/>
          <w:lang w:val="en-US"/>
        </w:rPr>
      </w:pPr>
      <w:r w:rsidRPr="001D50E3">
        <w:rPr>
          <w:rFonts w:ascii="Arial" w:hAnsi="Arial" w:cs="Arial"/>
          <w:b/>
          <w:lang w:val="en-US"/>
        </w:rPr>
        <w:t>Referenca: pika (e) (v) e nenit 17 (3)</w:t>
      </w:r>
    </w:p>
    <w:p w:rsidR="00FF2EC0" w:rsidRPr="001D50E3" w:rsidRDefault="00FF2EC0" w:rsidP="00754C28">
      <w:pPr>
        <w:spacing w:line="276" w:lineRule="auto"/>
        <w:jc w:val="both"/>
        <w:rPr>
          <w:rFonts w:ascii="Arial" w:hAnsi="Arial" w:cs="Arial"/>
          <w:lang w:val="en-US"/>
        </w:rPr>
      </w:pPr>
    </w:p>
    <w:tbl>
      <w:tblPr>
        <w:tblStyle w:val="TableGrid"/>
        <w:tblW w:w="0" w:type="auto"/>
        <w:tblLook w:val="04A0" w:firstRow="1" w:lastRow="0" w:firstColumn="1" w:lastColumn="0" w:noHBand="0" w:noVBand="1"/>
      </w:tblPr>
      <w:tblGrid>
        <w:gridCol w:w="9242"/>
      </w:tblGrid>
      <w:tr w:rsidR="00FF2EC0" w:rsidRPr="001D50E3" w:rsidTr="00754C28">
        <w:tc>
          <w:tcPr>
            <w:tcW w:w="9242" w:type="dxa"/>
          </w:tcPr>
          <w:p w:rsidR="00FF2EC0" w:rsidRPr="001D50E3" w:rsidRDefault="00FF2EC0" w:rsidP="00754C28">
            <w:pPr>
              <w:spacing w:line="276" w:lineRule="auto"/>
              <w:jc w:val="both"/>
              <w:rPr>
                <w:rFonts w:ascii="Arial" w:hAnsi="Arial" w:cs="Arial"/>
                <w:lang w:val="en-US"/>
              </w:rPr>
            </w:pPr>
            <w:r w:rsidRPr="001D50E3">
              <w:rPr>
                <w:rFonts w:ascii="Arial" w:hAnsi="Arial" w:cs="Arial"/>
                <w:lang w:val="en-US"/>
              </w:rPr>
              <w:t>Nuk aplikohet</w:t>
            </w:r>
          </w:p>
        </w:tc>
      </w:tr>
    </w:tbl>
    <w:p w:rsidR="00FF2EC0" w:rsidRPr="001D50E3" w:rsidRDefault="00FF2EC0" w:rsidP="00754C28">
      <w:pPr>
        <w:spacing w:line="276" w:lineRule="auto"/>
        <w:jc w:val="both"/>
        <w:rPr>
          <w:rFonts w:ascii="Arial" w:hAnsi="Arial" w:cs="Arial"/>
          <w:lang w:val="en-US"/>
        </w:rPr>
      </w:pPr>
    </w:p>
    <w:p w:rsidR="00FF2EC0" w:rsidRPr="001D50E3" w:rsidRDefault="00FF2EC0" w:rsidP="00754C28">
      <w:pPr>
        <w:spacing w:line="276" w:lineRule="auto"/>
        <w:jc w:val="both"/>
        <w:rPr>
          <w:rFonts w:ascii="Arial" w:hAnsi="Arial" w:cs="Arial"/>
        </w:rPr>
      </w:pPr>
      <w:r w:rsidRPr="001D50E3">
        <w:rPr>
          <w:rFonts w:ascii="Arial" w:hAnsi="Arial" w:cs="Arial"/>
        </w:rPr>
        <w:t>2.2.7. Analiza indikative e burimeve të programit të BE-së sipas llojit të ndërhyrjes</w:t>
      </w:r>
    </w:p>
    <w:p w:rsidR="00FF2EC0" w:rsidRPr="001D50E3" w:rsidRDefault="00FF2EC0" w:rsidP="00754C28">
      <w:pPr>
        <w:spacing w:line="276" w:lineRule="auto"/>
        <w:jc w:val="both"/>
        <w:rPr>
          <w:rFonts w:ascii="Arial" w:hAnsi="Arial" w:cs="Arial"/>
        </w:rPr>
      </w:pPr>
      <w:r w:rsidRPr="001D50E3">
        <w:rPr>
          <w:rFonts w:ascii="Arial" w:hAnsi="Arial" w:cs="Arial"/>
        </w:rPr>
        <w:t>Referenca: pika (e) (vi) e nenit 17 (3), pika (e) (v) e nenit 17 (9)</w:t>
      </w:r>
    </w:p>
    <w:p w:rsidR="00FF2EC0" w:rsidRPr="001D50E3" w:rsidRDefault="00FF2EC0" w:rsidP="00754C28">
      <w:pPr>
        <w:spacing w:line="276" w:lineRule="auto"/>
        <w:jc w:val="both"/>
        <w:rPr>
          <w:rFonts w:ascii="Arial" w:hAnsi="Arial" w:cs="Arial"/>
        </w:rPr>
      </w:pPr>
    </w:p>
    <w:p w:rsidR="00FF2EC0" w:rsidRPr="001D50E3" w:rsidRDefault="00FF2EC0" w:rsidP="00754C28">
      <w:pPr>
        <w:spacing w:line="276" w:lineRule="auto"/>
        <w:jc w:val="both"/>
        <w:rPr>
          <w:rFonts w:ascii="Arial" w:hAnsi="Arial" w:cs="Arial"/>
        </w:rPr>
      </w:pPr>
      <w:r w:rsidRPr="001D50E3">
        <w:rPr>
          <w:rFonts w:ascii="Arial" w:hAnsi="Arial" w:cs="Arial"/>
        </w:rPr>
        <w:t>2. Tabela 4: Dimensioni 1 - fusha e ndërhyrjes</w:t>
      </w:r>
    </w:p>
    <w:tbl>
      <w:tblPr>
        <w:tblStyle w:val="TableGrid1"/>
        <w:tblW w:w="9923" w:type="dxa"/>
        <w:tblInd w:w="-147" w:type="dxa"/>
        <w:tblLook w:val="04A0" w:firstRow="1" w:lastRow="0" w:firstColumn="1" w:lastColumn="0" w:noHBand="0" w:noVBand="1"/>
      </w:tblPr>
      <w:tblGrid>
        <w:gridCol w:w="1272"/>
        <w:gridCol w:w="1549"/>
        <w:gridCol w:w="1769"/>
        <w:gridCol w:w="2949"/>
        <w:gridCol w:w="2384"/>
      </w:tblGrid>
      <w:tr w:rsidR="00FF2EC0" w:rsidRPr="001D50E3" w:rsidTr="00754C28">
        <w:tc>
          <w:tcPr>
            <w:tcW w:w="1272" w:type="dxa"/>
            <w:tcBorders>
              <w:top w:val="single" w:sz="4" w:space="0" w:color="auto"/>
              <w:left w:val="single" w:sz="4" w:space="0" w:color="auto"/>
              <w:bottom w:val="single" w:sz="4" w:space="0" w:color="auto"/>
              <w:right w:val="single" w:sz="4" w:space="0" w:color="auto"/>
            </w:tcBorders>
            <w:hideMark/>
          </w:tcPr>
          <w:p w:rsidR="00FF2EC0" w:rsidRPr="001D50E3" w:rsidRDefault="00FF2EC0" w:rsidP="00754C28">
            <w:pPr>
              <w:spacing w:after="160" w:line="276" w:lineRule="auto"/>
              <w:jc w:val="both"/>
              <w:rPr>
                <w:rFonts w:ascii="Arial" w:eastAsia="Times New Roman" w:hAnsi="Arial" w:cs="Arial"/>
                <w:b/>
                <w:iCs/>
                <w:noProof/>
                <w:lang w:val="en-US" w:eastAsia="en-GB"/>
              </w:rPr>
            </w:pPr>
            <w:r w:rsidRPr="001D50E3">
              <w:rPr>
                <w:rFonts w:ascii="Arial" w:eastAsia="Times New Roman" w:hAnsi="Arial" w:cs="Arial"/>
                <w:b/>
                <w:iCs/>
                <w:noProof/>
                <w:lang w:val="en-US" w:eastAsia="en-GB"/>
              </w:rPr>
              <w:t>Prioritet nr.</w:t>
            </w:r>
          </w:p>
        </w:tc>
        <w:tc>
          <w:tcPr>
            <w:tcW w:w="1549" w:type="dxa"/>
            <w:tcBorders>
              <w:top w:val="single" w:sz="4" w:space="0" w:color="auto"/>
              <w:left w:val="single" w:sz="4" w:space="0" w:color="auto"/>
              <w:bottom w:val="single" w:sz="4" w:space="0" w:color="auto"/>
              <w:right w:val="single" w:sz="4" w:space="0" w:color="auto"/>
            </w:tcBorders>
            <w:hideMark/>
          </w:tcPr>
          <w:p w:rsidR="00FF2EC0" w:rsidRPr="001D50E3" w:rsidRDefault="00FF2EC0" w:rsidP="00754C28">
            <w:pPr>
              <w:spacing w:after="160" w:line="276" w:lineRule="auto"/>
              <w:jc w:val="both"/>
              <w:rPr>
                <w:rFonts w:ascii="Arial" w:eastAsia="Times New Roman" w:hAnsi="Arial" w:cs="Arial"/>
                <w:b/>
                <w:iCs/>
                <w:noProof/>
                <w:lang w:val="en-US" w:eastAsia="en-GB"/>
              </w:rPr>
            </w:pPr>
            <w:r w:rsidRPr="001D50E3">
              <w:rPr>
                <w:rFonts w:ascii="Arial" w:eastAsia="Times New Roman" w:hAnsi="Arial" w:cs="Arial"/>
                <w:b/>
                <w:iCs/>
                <w:noProof/>
                <w:lang w:val="en-US" w:eastAsia="en-GB"/>
              </w:rPr>
              <w:t>Fond</w:t>
            </w:r>
          </w:p>
        </w:tc>
        <w:tc>
          <w:tcPr>
            <w:tcW w:w="1769" w:type="dxa"/>
            <w:tcBorders>
              <w:top w:val="single" w:sz="4" w:space="0" w:color="auto"/>
              <w:left w:val="single" w:sz="4" w:space="0" w:color="auto"/>
              <w:bottom w:val="single" w:sz="4" w:space="0" w:color="auto"/>
              <w:right w:val="single" w:sz="4" w:space="0" w:color="auto"/>
            </w:tcBorders>
            <w:hideMark/>
          </w:tcPr>
          <w:p w:rsidR="00FF2EC0" w:rsidRPr="001D50E3" w:rsidRDefault="00FF2EC0" w:rsidP="00754C28">
            <w:pPr>
              <w:spacing w:after="160" w:line="276" w:lineRule="auto"/>
              <w:jc w:val="both"/>
              <w:rPr>
                <w:rFonts w:ascii="Arial" w:eastAsia="Times New Roman" w:hAnsi="Arial" w:cs="Arial"/>
                <w:b/>
                <w:iCs/>
                <w:noProof/>
                <w:lang w:val="mk-MK" w:eastAsia="en-GB"/>
              </w:rPr>
            </w:pPr>
            <w:r w:rsidRPr="001D50E3">
              <w:rPr>
                <w:rFonts w:ascii="Arial" w:eastAsia="Times New Roman" w:hAnsi="Arial" w:cs="Arial"/>
                <w:b/>
                <w:iCs/>
                <w:noProof/>
                <w:lang w:val="mk-MK" w:eastAsia="en-GB"/>
              </w:rPr>
              <w:t>Qellim</w:t>
            </w:r>
            <w:r w:rsidRPr="001D50E3">
              <w:rPr>
                <w:rFonts w:ascii="Arial" w:eastAsia="Times New Roman" w:hAnsi="Arial" w:cs="Arial"/>
                <w:b/>
                <w:iCs/>
                <w:noProof/>
                <w:lang w:val="en-US" w:eastAsia="en-GB"/>
              </w:rPr>
              <w:t>i</w:t>
            </w:r>
            <w:r w:rsidRPr="001D50E3">
              <w:rPr>
                <w:rFonts w:ascii="Arial" w:eastAsia="Times New Roman" w:hAnsi="Arial" w:cs="Arial"/>
                <w:b/>
                <w:iCs/>
                <w:noProof/>
                <w:lang w:val="mk-MK" w:eastAsia="en-GB"/>
              </w:rPr>
              <w:t>specifik</w:t>
            </w:r>
          </w:p>
        </w:tc>
        <w:tc>
          <w:tcPr>
            <w:tcW w:w="2949" w:type="dxa"/>
            <w:tcBorders>
              <w:top w:val="single" w:sz="4" w:space="0" w:color="auto"/>
              <w:left w:val="single" w:sz="4" w:space="0" w:color="auto"/>
              <w:bottom w:val="single" w:sz="4" w:space="0" w:color="auto"/>
              <w:right w:val="single" w:sz="4" w:space="0" w:color="auto"/>
            </w:tcBorders>
            <w:hideMark/>
          </w:tcPr>
          <w:p w:rsidR="00FF2EC0" w:rsidRPr="001D50E3" w:rsidRDefault="00FF2EC0" w:rsidP="00754C28">
            <w:pPr>
              <w:spacing w:after="160" w:line="276" w:lineRule="auto"/>
              <w:jc w:val="both"/>
              <w:rPr>
                <w:rFonts w:ascii="Arial" w:eastAsia="Times New Roman" w:hAnsi="Arial" w:cs="Arial"/>
                <w:b/>
                <w:iCs/>
                <w:noProof/>
                <w:lang w:val="en-US" w:eastAsia="en-GB"/>
              </w:rPr>
            </w:pPr>
            <w:r w:rsidRPr="001D50E3">
              <w:rPr>
                <w:rFonts w:ascii="Arial" w:eastAsia="Times New Roman" w:hAnsi="Arial" w:cs="Arial"/>
                <w:b/>
                <w:iCs/>
                <w:noProof/>
                <w:lang w:val="en-US" w:eastAsia="en-GB"/>
              </w:rPr>
              <w:t>Kodi</w:t>
            </w:r>
          </w:p>
        </w:tc>
        <w:tc>
          <w:tcPr>
            <w:tcW w:w="2384" w:type="dxa"/>
            <w:tcBorders>
              <w:top w:val="single" w:sz="4" w:space="0" w:color="auto"/>
              <w:left w:val="single" w:sz="4" w:space="0" w:color="auto"/>
              <w:bottom w:val="single" w:sz="4" w:space="0" w:color="auto"/>
              <w:right w:val="single" w:sz="4" w:space="0" w:color="auto"/>
            </w:tcBorders>
          </w:tcPr>
          <w:p w:rsidR="00FF2EC0" w:rsidRPr="001D50E3" w:rsidRDefault="00FF2EC0" w:rsidP="00754C28">
            <w:pPr>
              <w:spacing w:line="276" w:lineRule="auto"/>
              <w:jc w:val="both"/>
              <w:rPr>
                <w:rFonts w:ascii="Arial" w:eastAsia="Times New Roman" w:hAnsi="Arial" w:cs="Arial"/>
                <w:b/>
                <w:iCs/>
                <w:noProof/>
                <w:lang w:eastAsia="en-GB"/>
              </w:rPr>
            </w:pPr>
            <w:r w:rsidRPr="001D50E3">
              <w:rPr>
                <w:rFonts w:ascii="Arial" w:eastAsia="Times New Roman" w:hAnsi="Arial" w:cs="Arial"/>
                <w:b/>
                <w:iCs/>
                <w:noProof/>
                <w:lang w:eastAsia="en-GB"/>
              </w:rPr>
              <w:t>Shuma (EURO)</w:t>
            </w:r>
          </w:p>
        </w:tc>
      </w:tr>
      <w:tr w:rsidR="00FF2EC0" w:rsidRPr="001D50E3" w:rsidTr="00754C28">
        <w:tc>
          <w:tcPr>
            <w:tcW w:w="1272" w:type="dxa"/>
            <w:tcBorders>
              <w:top w:val="single" w:sz="4" w:space="0" w:color="auto"/>
              <w:left w:val="single" w:sz="4" w:space="0" w:color="auto"/>
              <w:bottom w:val="single" w:sz="4" w:space="0" w:color="auto"/>
              <w:right w:val="single" w:sz="4" w:space="0" w:color="auto"/>
            </w:tcBorders>
            <w:vAlign w:val="center"/>
            <w:hideMark/>
          </w:tcPr>
          <w:p w:rsidR="00FF2EC0" w:rsidRPr="001D50E3" w:rsidRDefault="00FF2EC0" w:rsidP="00754C28">
            <w:pPr>
              <w:spacing w:after="160" w:line="276" w:lineRule="auto"/>
              <w:jc w:val="both"/>
              <w:rPr>
                <w:rFonts w:ascii="Arial" w:eastAsia="Times New Roman" w:hAnsi="Arial" w:cs="Arial"/>
                <w:iCs/>
                <w:noProof/>
                <w:lang w:eastAsia="en-GB"/>
              </w:rPr>
            </w:pPr>
            <w:r w:rsidRPr="001D50E3">
              <w:rPr>
                <w:rFonts w:ascii="Arial" w:eastAsia="Times New Roman" w:hAnsi="Arial" w:cs="Arial"/>
                <w:iCs/>
                <w:noProof/>
                <w:lang w:eastAsia="en-GB"/>
              </w:rPr>
              <w:t>2</w:t>
            </w:r>
          </w:p>
        </w:tc>
        <w:tc>
          <w:tcPr>
            <w:tcW w:w="1549" w:type="dxa"/>
            <w:tcBorders>
              <w:top w:val="single" w:sz="4" w:space="0" w:color="auto"/>
              <w:left w:val="single" w:sz="4" w:space="0" w:color="auto"/>
              <w:bottom w:val="single" w:sz="4" w:space="0" w:color="auto"/>
              <w:right w:val="single" w:sz="4" w:space="0" w:color="auto"/>
            </w:tcBorders>
            <w:vAlign w:val="center"/>
            <w:hideMark/>
          </w:tcPr>
          <w:p w:rsidR="00FF2EC0" w:rsidRPr="001D50E3" w:rsidRDefault="00FF2EC0" w:rsidP="00754C28">
            <w:pPr>
              <w:spacing w:after="160" w:line="276" w:lineRule="auto"/>
              <w:jc w:val="both"/>
              <w:rPr>
                <w:rFonts w:ascii="Arial" w:eastAsia="Times New Roman" w:hAnsi="Arial" w:cs="Arial"/>
                <w:b/>
                <w:iCs/>
                <w:noProof/>
                <w:lang w:eastAsia="en-GB"/>
              </w:rPr>
            </w:pPr>
            <w:r w:rsidRPr="001D50E3">
              <w:rPr>
                <w:rFonts w:ascii="Arial" w:eastAsia="Times New Roman" w:hAnsi="Arial" w:cs="Arial"/>
                <w:b/>
                <w:iCs/>
                <w:noProof/>
                <w:lang w:eastAsia="en-GB"/>
              </w:rPr>
              <w:t>Fondet e Unionit (EFRR dhe IPA)</w:t>
            </w:r>
          </w:p>
        </w:tc>
        <w:tc>
          <w:tcPr>
            <w:tcW w:w="1769" w:type="dxa"/>
            <w:tcBorders>
              <w:top w:val="single" w:sz="4" w:space="0" w:color="auto"/>
              <w:left w:val="single" w:sz="4" w:space="0" w:color="auto"/>
              <w:bottom w:val="single" w:sz="4" w:space="0" w:color="auto"/>
              <w:right w:val="single" w:sz="4" w:space="0" w:color="auto"/>
            </w:tcBorders>
            <w:vAlign w:val="center"/>
            <w:hideMark/>
          </w:tcPr>
          <w:p w:rsidR="00FF2EC0" w:rsidRPr="001D50E3" w:rsidRDefault="00FF2EC0" w:rsidP="00754C28">
            <w:pPr>
              <w:spacing w:after="160" w:line="276" w:lineRule="auto"/>
              <w:jc w:val="both"/>
              <w:rPr>
                <w:rFonts w:ascii="Arial" w:eastAsia="Times New Roman" w:hAnsi="Arial" w:cs="Arial"/>
                <w:b/>
                <w:iCs/>
                <w:noProof/>
                <w:lang w:eastAsia="en-GB"/>
              </w:rPr>
            </w:pPr>
            <w:r w:rsidRPr="001D50E3">
              <w:rPr>
                <w:rFonts w:ascii="Arial" w:eastAsia="Times New Roman" w:hAnsi="Arial" w:cs="Arial"/>
                <w:b/>
                <w:iCs/>
                <w:noProof/>
                <w:lang w:eastAsia="en-GB"/>
              </w:rPr>
              <w:t>2.1</w:t>
            </w:r>
          </w:p>
        </w:tc>
        <w:tc>
          <w:tcPr>
            <w:tcW w:w="2949" w:type="dxa"/>
            <w:tcBorders>
              <w:top w:val="single" w:sz="4" w:space="0" w:color="auto"/>
              <w:left w:val="single" w:sz="4" w:space="0" w:color="auto"/>
              <w:bottom w:val="single" w:sz="4" w:space="0" w:color="auto"/>
              <w:right w:val="single" w:sz="4" w:space="0" w:color="auto"/>
            </w:tcBorders>
            <w:hideMark/>
          </w:tcPr>
          <w:p w:rsidR="00FF2EC0" w:rsidRPr="001D50E3" w:rsidRDefault="00FF2EC0" w:rsidP="00754C28">
            <w:pPr>
              <w:spacing w:after="160" w:line="276" w:lineRule="auto"/>
              <w:jc w:val="both"/>
              <w:rPr>
                <w:rFonts w:ascii="Arial" w:eastAsia="Times New Roman" w:hAnsi="Arial" w:cs="Arial"/>
                <w:iCs/>
                <w:noProof/>
                <w:lang w:val="en-US" w:eastAsia="en-GB"/>
              </w:rPr>
            </w:pPr>
            <w:r w:rsidRPr="001D50E3">
              <w:rPr>
                <w:rFonts w:ascii="Arial" w:eastAsia="Times New Roman" w:hAnsi="Arial" w:cs="Arial"/>
                <w:iCs/>
                <w:noProof/>
                <w:lang w:val="en-US" w:eastAsia="en-GB"/>
              </w:rPr>
              <w:t>174 Interreg: menaxhimi i kufirit me lëvizshmërine dhe menaxhimi i migracionit</w:t>
            </w:r>
          </w:p>
        </w:tc>
        <w:tc>
          <w:tcPr>
            <w:tcW w:w="2384" w:type="dxa"/>
            <w:tcBorders>
              <w:top w:val="single" w:sz="4" w:space="0" w:color="auto"/>
              <w:left w:val="single" w:sz="4" w:space="0" w:color="auto"/>
              <w:bottom w:val="single" w:sz="4" w:space="0" w:color="auto"/>
              <w:right w:val="single" w:sz="4" w:space="0" w:color="auto"/>
            </w:tcBorders>
            <w:vAlign w:val="bottom"/>
          </w:tcPr>
          <w:p w:rsidR="00FF2EC0" w:rsidRPr="001D50E3" w:rsidRDefault="00FF2EC0" w:rsidP="00754C28">
            <w:pPr>
              <w:spacing w:after="160" w:line="276" w:lineRule="auto"/>
              <w:jc w:val="both"/>
              <w:rPr>
                <w:rFonts w:ascii="Arial" w:eastAsia="Times New Roman" w:hAnsi="Arial" w:cs="Arial"/>
                <w:b/>
                <w:iCs/>
                <w:noProof/>
                <w:lang w:eastAsia="en-GB"/>
              </w:rPr>
            </w:pPr>
          </w:p>
        </w:tc>
      </w:tr>
      <w:tr w:rsidR="00FF2EC0" w:rsidRPr="001D50E3" w:rsidTr="00754C28">
        <w:tc>
          <w:tcPr>
            <w:tcW w:w="1272" w:type="dxa"/>
            <w:tcBorders>
              <w:top w:val="single" w:sz="4" w:space="0" w:color="auto"/>
              <w:left w:val="single" w:sz="4" w:space="0" w:color="auto"/>
              <w:bottom w:val="single" w:sz="4" w:space="0" w:color="auto"/>
              <w:right w:val="single" w:sz="4" w:space="0" w:color="auto"/>
            </w:tcBorders>
            <w:vAlign w:val="center"/>
            <w:hideMark/>
          </w:tcPr>
          <w:p w:rsidR="00FF2EC0" w:rsidRPr="001D50E3" w:rsidRDefault="00FF2EC0" w:rsidP="00754C28">
            <w:pPr>
              <w:spacing w:after="160" w:line="276" w:lineRule="auto"/>
              <w:jc w:val="both"/>
              <w:rPr>
                <w:rFonts w:ascii="Arial" w:eastAsia="Times New Roman" w:hAnsi="Arial" w:cs="Arial"/>
                <w:iCs/>
                <w:noProof/>
                <w:lang w:eastAsia="en-GB"/>
              </w:rPr>
            </w:pPr>
            <w:r w:rsidRPr="001D50E3">
              <w:rPr>
                <w:rFonts w:ascii="Arial" w:eastAsia="Times New Roman" w:hAnsi="Arial" w:cs="Arial"/>
                <w:iCs/>
                <w:noProof/>
                <w:lang w:eastAsia="en-GB"/>
              </w:rPr>
              <w:t>2</w:t>
            </w:r>
          </w:p>
        </w:tc>
        <w:tc>
          <w:tcPr>
            <w:tcW w:w="1549" w:type="dxa"/>
            <w:tcBorders>
              <w:top w:val="single" w:sz="4" w:space="0" w:color="auto"/>
              <w:left w:val="single" w:sz="4" w:space="0" w:color="auto"/>
              <w:bottom w:val="single" w:sz="4" w:space="0" w:color="auto"/>
              <w:right w:val="single" w:sz="4" w:space="0" w:color="auto"/>
            </w:tcBorders>
            <w:vAlign w:val="center"/>
            <w:hideMark/>
          </w:tcPr>
          <w:p w:rsidR="00FF2EC0" w:rsidRPr="001D50E3" w:rsidRDefault="00FF2EC0" w:rsidP="00754C28">
            <w:pPr>
              <w:spacing w:after="160" w:line="276" w:lineRule="auto"/>
              <w:jc w:val="both"/>
              <w:rPr>
                <w:rFonts w:ascii="Arial" w:hAnsi="Arial" w:cs="Arial"/>
              </w:rPr>
            </w:pPr>
            <w:r w:rsidRPr="001D50E3">
              <w:rPr>
                <w:rFonts w:ascii="Arial" w:hAnsi="Arial" w:cs="Arial"/>
              </w:rPr>
              <w:t>Fondet e Unionit (EFRR dhe IPA)</w:t>
            </w:r>
          </w:p>
        </w:tc>
        <w:tc>
          <w:tcPr>
            <w:tcW w:w="1769" w:type="dxa"/>
            <w:tcBorders>
              <w:top w:val="single" w:sz="4" w:space="0" w:color="auto"/>
              <w:left w:val="single" w:sz="4" w:space="0" w:color="auto"/>
              <w:bottom w:val="single" w:sz="4" w:space="0" w:color="auto"/>
              <w:right w:val="single" w:sz="4" w:space="0" w:color="auto"/>
            </w:tcBorders>
            <w:vAlign w:val="center"/>
            <w:hideMark/>
          </w:tcPr>
          <w:p w:rsidR="00FF2EC0" w:rsidRPr="001D50E3" w:rsidRDefault="00FF2EC0" w:rsidP="00754C28">
            <w:pPr>
              <w:spacing w:after="160" w:line="276" w:lineRule="auto"/>
              <w:jc w:val="both"/>
              <w:rPr>
                <w:rFonts w:ascii="Arial" w:eastAsia="Times New Roman" w:hAnsi="Arial" w:cs="Arial"/>
                <w:b/>
                <w:iCs/>
                <w:noProof/>
                <w:lang w:eastAsia="en-GB"/>
              </w:rPr>
            </w:pPr>
            <w:r w:rsidRPr="001D50E3">
              <w:rPr>
                <w:rFonts w:ascii="Arial" w:eastAsia="Times New Roman" w:hAnsi="Arial" w:cs="Arial"/>
                <w:b/>
                <w:iCs/>
                <w:noProof/>
                <w:lang w:eastAsia="en-GB"/>
              </w:rPr>
              <w:t>2.1</w:t>
            </w:r>
          </w:p>
        </w:tc>
        <w:tc>
          <w:tcPr>
            <w:tcW w:w="2949" w:type="dxa"/>
            <w:tcBorders>
              <w:top w:val="single" w:sz="4" w:space="0" w:color="auto"/>
              <w:left w:val="single" w:sz="4" w:space="0" w:color="auto"/>
              <w:bottom w:val="single" w:sz="4" w:space="0" w:color="auto"/>
              <w:right w:val="single" w:sz="4" w:space="0" w:color="auto"/>
            </w:tcBorders>
            <w:hideMark/>
          </w:tcPr>
          <w:p w:rsidR="00FF2EC0" w:rsidRPr="001D50E3" w:rsidRDefault="00FF2EC0" w:rsidP="00754C28">
            <w:pPr>
              <w:spacing w:after="160" w:line="276" w:lineRule="auto"/>
              <w:jc w:val="both"/>
              <w:rPr>
                <w:rFonts w:ascii="Arial" w:eastAsia="Times New Roman" w:hAnsi="Arial" w:cs="Arial"/>
                <w:iCs/>
                <w:noProof/>
                <w:lang w:val="mk-MK" w:eastAsia="en-GB"/>
              </w:rPr>
            </w:pPr>
            <w:r w:rsidRPr="001D50E3">
              <w:rPr>
                <w:rFonts w:ascii="Arial" w:eastAsia="Times New Roman" w:hAnsi="Arial" w:cs="Arial"/>
                <w:iCs/>
                <w:noProof/>
                <w:lang w:val="en-US" w:eastAsia="en-GB"/>
              </w:rPr>
              <w:t>168 Rigjenerimi fizik dhe sigurimi i hapësirave publike</w:t>
            </w:r>
          </w:p>
        </w:tc>
        <w:tc>
          <w:tcPr>
            <w:tcW w:w="2384" w:type="dxa"/>
            <w:tcBorders>
              <w:top w:val="single" w:sz="4" w:space="0" w:color="auto"/>
              <w:left w:val="single" w:sz="4" w:space="0" w:color="auto"/>
              <w:bottom w:val="single" w:sz="4" w:space="0" w:color="auto"/>
              <w:right w:val="single" w:sz="4" w:space="0" w:color="auto"/>
            </w:tcBorders>
            <w:vAlign w:val="bottom"/>
          </w:tcPr>
          <w:p w:rsidR="00FF2EC0" w:rsidRPr="001D50E3" w:rsidRDefault="00FF2EC0" w:rsidP="00754C28">
            <w:pPr>
              <w:spacing w:after="160" w:line="276" w:lineRule="auto"/>
              <w:jc w:val="both"/>
              <w:rPr>
                <w:rFonts w:ascii="Arial" w:eastAsia="Times New Roman" w:hAnsi="Arial" w:cs="Arial"/>
                <w:b/>
                <w:iCs/>
                <w:noProof/>
                <w:lang w:eastAsia="en-GB"/>
              </w:rPr>
            </w:pPr>
          </w:p>
        </w:tc>
      </w:tr>
      <w:tr w:rsidR="00FF2EC0" w:rsidRPr="001D50E3" w:rsidTr="00754C28">
        <w:tc>
          <w:tcPr>
            <w:tcW w:w="1272" w:type="dxa"/>
            <w:tcBorders>
              <w:top w:val="single" w:sz="4" w:space="0" w:color="auto"/>
              <w:left w:val="single" w:sz="4" w:space="0" w:color="auto"/>
              <w:bottom w:val="single" w:sz="4" w:space="0" w:color="auto"/>
              <w:right w:val="single" w:sz="4" w:space="0" w:color="auto"/>
            </w:tcBorders>
            <w:vAlign w:val="center"/>
            <w:hideMark/>
          </w:tcPr>
          <w:p w:rsidR="00FF2EC0" w:rsidRPr="001D50E3" w:rsidRDefault="00FF2EC0" w:rsidP="00754C28">
            <w:pPr>
              <w:spacing w:after="160" w:line="276" w:lineRule="auto"/>
              <w:jc w:val="both"/>
              <w:rPr>
                <w:rFonts w:ascii="Arial" w:eastAsia="Times New Roman" w:hAnsi="Arial" w:cs="Arial"/>
                <w:iCs/>
                <w:noProof/>
                <w:lang w:eastAsia="en-GB"/>
              </w:rPr>
            </w:pPr>
            <w:r w:rsidRPr="001D50E3">
              <w:rPr>
                <w:rFonts w:ascii="Arial" w:eastAsia="Times New Roman" w:hAnsi="Arial" w:cs="Arial"/>
                <w:iCs/>
                <w:noProof/>
                <w:lang w:eastAsia="en-GB"/>
              </w:rPr>
              <w:lastRenderedPageBreak/>
              <w:t>2</w:t>
            </w:r>
          </w:p>
        </w:tc>
        <w:tc>
          <w:tcPr>
            <w:tcW w:w="1549" w:type="dxa"/>
            <w:tcBorders>
              <w:top w:val="single" w:sz="4" w:space="0" w:color="auto"/>
              <w:left w:val="single" w:sz="4" w:space="0" w:color="auto"/>
              <w:bottom w:val="single" w:sz="4" w:space="0" w:color="auto"/>
              <w:right w:val="single" w:sz="4" w:space="0" w:color="auto"/>
            </w:tcBorders>
            <w:vAlign w:val="center"/>
            <w:hideMark/>
          </w:tcPr>
          <w:p w:rsidR="00FF2EC0" w:rsidRPr="001D50E3" w:rsidRDefault="00FF2EC0" w:rsidP="00754C28">
            <w:pPr>
              <w:spacing w:after="160" w:line="276" w:lineRule="auto"/>
              <w:jc w:val="both"/>
              <w:rPr>
                <w:rFonts w:ascii="Arial" w:hAnsi="Arial" w:cs="Arial"/>
              </w:rPr>
            </w:pPr>
            <w:r w:rsidRPr="001D50E3">
              <w:rPr>
                <w:rFonts w:ascii="Arial" w:hAnsi="Arial" w:cs="Arial"/>
              </w:rPr>
              <w:t>Fondet e Unionit (EFRR dhe IPA)</w:t>
            </w:r>
          </w:p>
        </w:tc>
        <w:tc>
          <w:tcPr>
            <w:tcW w:w="1769" w:type="dxa"/>
            <w:tcBorders>
              <w:top w:val="single" w:sz="4" w:space="0" w:color="auto"/>
              <w:left w:val="single" w:sz="4" w:space="0" w:color="auto"/>
              <w:bottom w:val="single" w:sz="4" w:space="0" w:color="auto"/>
              <w:right w:val="single" w:sz="4" w:space="0" w:color="auto"/>
            </w:tcBorders>
            <w:vAlign w:val="center"/>
            <w:hideMark/>
          </w:tcPr>
          <w:p w:rsidR="00FF2EC0" w:rsidRPr="001D50E3" w:rsidRDefault="00FF2EC0" w:rsidP="00754C28">
            <w:pPr>
              <w:spacing w:after="160" w:line="276" w:lineRule="auto"/>
              <w:jc w:val="both"/>
              <w:rPr>
                <w:rFonts w:ascii="Arial" w:eastAsia="Times New Roman" w:hAnsi="Arial" w:cs="Arial"/>
                <w:b/>
                <w:iCs/>
                <w:noProof/>
                <w:lang w:eastAsia="en-GB"/>
              </w:rPr>
            </w:pPr>
            <w:r w:rsidRPr="001D50E3">
              <w:rPr>
                <w:rFonts w:ascii="Arial" w:eastAsia="Times New Roman" w:hAnsi="Arial" w:cs="Arial"/>
                <w:b/>
                <w:iCs/>
                <w:noProof/>
                <w:lang w:eastAsia="en-GB"/>
              </w:rPr>
              <w:t>2.1</w:t>
            </w:r>
          </w:p>
        </w:tc>
        <w:tc>
          <w:tcPr>
            <w:tcW w:w="2949" w:type="dxa"/>
            <w:tcBorders>
              <w:top w:val="single" w:sz="4" w:space="0" w:color="auto"/>
              <w:left w:val="single" w:sz="4" w:space="0" w:color="auto"/>
              <w:bottom w:val="single" w:sz="4" w:space="0" w:color="auto"/>
              <w:right w:val="single" w:sz="4" w:space="0" w:color="auto"/>
            </w:tcBorders>
            <w:hideMark/>
          </w:tcPr>
          <w:p w:rsidR="00FF2EC0" w:rsidRPr="001D50E3" w:rsidRDefault="00FF2EC0" w:rsidP="00754C28">
            <w:pPr>
              <w:spacing w:after="160" w:line="276" w:lineRule="auto"/>
              <w:jc w:val="both"/>
              <w:rPr>
                <w:rFonts w:ascii="Arial" w:eastAsia="Times New Roman" w:hAnsi="Arial" w:cs="Arial"/>
                <w:iCs/>
                <w:noProof/>
                <w:lang w:val="mk-MK" w:eastAsia="en-GB"/>
              </w:rPr>
            </w:pPr>
            <w:r w:rsidRPr="001D50E3">
              <w:rPr>
                <w:rFonts w:ascii="Arial" w:eastAsia="Times New Roman" w:hAnsi="Arial" w:cs="Arial"/>
                <w:iCs/>
                <w:noProof/>
                <w:lang w:val="en-US" w:eastAsia="en-GB"/>
              </w:rPr>
              <w:t>062 Rrugë të tjera të rindërtuara ose të përmirësuara (autostradë, kombëtare, rajonale ose lokale)</w:t>
            </w:r>
          </w:p>
        </w:tc>
        <w:tc>
          <w:tcPr>
            <w:tcW w:w="2384" w:type="dxa"/>
            <w:tcBorders>
              <w:top w:val="single" w:sz="4" w:space="0" w:color="auto"/>
              <w:left w:val="single" w:sz="4" w:space="0" w:color="auto"/>
              <w:bottom w:val="single" w:sz="4" w:space="0" w:color="auto"/>
              <w:right w:val="single" w:sz="4" w:space="0" w:color="auto"/>
            </w:tcBorders>
            <w:vAlign w:val="bottom"/>
          </w:tcPr>
          <w:p w:rsidR="00FF2EC0" w:rsidRPr="001D50E3" w:rsidRDefault="00FF2EC0" w:rsidP="00754C28">
            <w:pPr>
              <w:spacing w:after="160" w:line="276" w:lineRule="auto"/>
              <w:jc w:val="both"/>
              <w:rPr>
                <w:rFonts w:ascii="Arial" w:eastAsia="Times New Roman" w:hAnsi="Arial" w:cs="Arial"/>
                <w:b/>
                <w:iCs/>
                <w:noProof/>
                <w:lang w:eastAsia="en-GB"/>
              </w:rPr>
            </w:pPr>
          </w:p>
        </w:tc>
      </w:tr>
    </w:tbl>
    <w:p w:rsidR="00FF2EC0" w:rsidRPr="001D50E3" w:rsidRDefault="00FF2EC0" w:rsidP="00754C28">
      <w:pPr>
        <w:spacing w:line="276" w:lineRule="auto"/>
        <w:jc w:val="both"/>
        <w:rPr>
          <w:rFonts w:ascii="Arial" w:hAnsi="Arial" w:cs="Arial"/>
        </w:rPr>
      </w:pPr>
      <w:r w:rsidRPr="001D50E3">
        <w:rPr>
          <w:rFonts w:ascii="Arial" w:hAnsi="Arial" w:cs="Arial"/>
        </w:rPr>
        <w:t>Tabela 5: Dimensioni 2 - mënyra e financimit</w:t>
      </w:r>
    </w:p>
    <w:tbl>
      <w:tblPr>
        <w:tblStyle w:val="TableGrid1"/>
        <w:tblW w:w="9923" w:type="dxa"/>
        <w:tblInd w:w="-147" w:type="dxa"/>
        <w:tblLook w:val="04A0" w:firstRow="1" w:lastRow="0" w:firstColumn="1" w:lastColumn="0" w:noHBand="0" w:noVBand="1"/>
      </w:tblPr>
      <w:tblGrid>
        <w:gridCol w:w="1272"/>
        <w:gridCol w:w="1549"/>
        <w:gridCol w:w="1769"/>
        <w:gridCol w:w="2949"/>
        <w:gridCol w:w="2384"/>
      </w:tblGrid>
      <w:tr w:rsidR="00FF2EC0" w:rsidRPr="001D50E3" w:rsidTr="00754C28">
        <w:tc>
          <w:tcPr>
            <w:tcW w:w="1272" w:type="dxa"/>
            <w:tcBorders>
              <w:top w:val="single" w:sz="4" w:space="0" w:color="auto"/>
              <w:left w:val="single" w:sz="4" w:space="0" w:color="auto"/>
              <w:bottom w:val="single" w:sz="4" w:space="0" w:color="auto"/>
              <w:right w:val="single" w:sz="4" w:space="0" w:color="auto"/>
            </w:tcBorders>
            <w:vAlign w:val="center"/>
            <w:hideMark/>
          </w:tcPr>
          <w:p w:rsidR="00FF2EC0" w:rsidRPr="001D50E3" w:rsidRDefault="00FF2EC0" w:rsidP="00754C28">
            <w:pPr>
              <w:spacing w:after="160" w:line="276" w:lineRule="auto"/>
              <w:jc w:val="both"/>
              <w:rPr>
                <w:rFonts w:ascii="Arial" w:eastAsia="Times New Roman" w:hAnsi="Arial" w:cs="Arial"/>
                <w:iCs/>
                <w:noProof/>
                <w:lang w:eastAsia="en-GB"/>
              </w:rPr>
            </w:pPr>
            <w:r w:rsidRPr="001D50E3">
              <w:rPr>
                <w:rFonts w:ascii="Arial" w:eastAsia="Times New Roman" w:hAnsi="Arial" w:cs="Arial"/>
                <w:iCs/>
                <w:noProof/>
                <w:lang w:eastAsia="en-GB"/>
              </w:rPr>
              <w:t>2</w:t>
            </w:r>
          </w:p>
        </w:tc>
        <w:tc>
          <w:tcPr>
            <w:tcW w:w="1549" w:type="dxa"/>
            <w:tcBorders>
              <w:top w:val="single" w:sz="4" w:space="0" w:color="auto"/>
              <w:left w:val="single" w:sz="4" w:space="0" w:color="auto"/>
              <w:bottom w:val="single" w:sz="4" w:space="0" w:color="auto"/>
              <w:right w:val="single" w:sz="4" w:space="0" w:color="auto"/>
            </w:tcBorders>
            <w:vAlign w:val="center"/>
            <w:hideMark/>
          </w:tcPr>
          <w:p w:rsidR="00FF2EC0" w:rsidRPr="001D50E3" w:rsidRDefault="00FF2EC0" w:rsidP="00754C28">
            <w:pPr>
              <w:spacing w:after="160" w:line="276" w:lineRule="auto"/>
              <w:jc w:val="both"/>
              <w:rPr>
                <w:rFonts w:ascii="Arial" w:hAnsi="Arial" w:cs="Arial"/>
              </w:rPr>
            </w:pPr>
            <w:r w:rsidRPr="001D50E3">
              <w:rPr>
                <w:rFonts w:ascii="Arial" w:hAnsi="Arial" w:cs="Arial"/>
              </w:rPr>
              <w:t>Fondet e Unionit (EFRR dhe IPA)</w:t>
            </w:r>
          </w:p>
        </w:tc>
        <w:tc>
          <w:tcPr>
            <w:tcW w:w="1769" w:type="dxa"/>
            <w:tcBorders>
              <w:top w:val="single" w:sz="4" w:space="0" w:color="auto"/>
              <w:left w:val="single" w:sz="4" w:space="0" w:color="auto"/>
              <w:bottom w:val="single" w:sz="4" w:space="0" w:color="auto"/>
              <w:right w:val="single" w:sz="4" w:space="0" w:color="auto"/>
            </w:tcBorders>
            <w:vAlign w:val="center"/>
            <w:hideMark/>
          </w:tcPr>
          <w:p w:rsidR="00FF2EC0" w:rsidRPr="001D50E3" w:rsidRDefault="00FF2EC0" w:rsidP="00754C28">
            <w:pPr>
              <w:spacing w:after="160" w:line="276" w:lineRule="auto"/>
              <w:jc w:val="both"/>
              <w:rPr>
                <w:rFonts w:ascii="Arial" w:eastAsia="Times New Roman" w:hAnsi="Arial" w:cs="Arial"/>
                <w:b/>
                <w:iCs/>
                <w:noProof/>
                <w:lang w:eastAsia="en-GB"/>
              </w:rPr>
            </w:pPr>
            <w:r w:rsidRPr="001D50E3">
              <w:rPr>
                <w:rFonts w:ascii="Arial" w:eastAsia="Times New Roman" w:hAnsi="Arial" w:cs="Arial"/>
                <w:b/>
                <w:iCs/>
                <w:noProof/>
                <w:lang w:eastAsia="en-GB"/>
              </w:rPr>
              <w:t>2.1</w:t>
            </w:r>
          </w:p>
        </w:tc>
        <w:tc>
          <w:tcPr>
            <w:tcW w:w="2949" w:type="dxa"/>
            <w:tcBorders>
              <w:top w:val="single" w:sz="4" w:space="0" w:color="auto"/>
              <w:left w:val="single" w:sz="4" w:space="0" w:color="auto"/>
              <w:bottom w:val="single" w:sz="4" w:space="0" w:color="auto"/>
              <w:right w:val="single" w:sz="4" w:space="0" w:color="auto"/>
            </w:tcBorders>
            <w:hideMark/>
          </w:tcPr>
          <w:p w:rsidR="00FF2EC0" w:rsidRPr="001D50E3" w:rsidRDefault="00FF2EC0" w:rsidP="00754C28">
            <w:pPr>
              <w:spacing w:after="160" w:line="276" w:lineRule="auto"/>
              <w:jc w:val="both"/>
              <w:rPr>
                <w:rFonts w:ascii="Arial" w:eastAsia="Times New Roman" w:hAnsi="Arial" w:cs="Arial"/>
                <w:iCs/>
                <w:noProof/>
                <w:lang w:val="mk-MK" w:eastAsia="en-GB"/>
              </w:rPr>
            </w:pPr>
            <w:r w:rsidRPr="001D50E3">
              <w:rPr>
                <w:rFonts w:ascii="Arial" w:eastAsia="Times New Roman" w:hAnsi="Arial" w:cs="Arial"/>
                <w:iCs/>
                <w:noProof/>
                <w:lang w:val="en-US" w:eastAsia="en-GB"/>
              </w:rPr>
              <w:t>01 Grant</w:t>
            </w:r>
          </w:p>
        </w:tc>
        <w:tc>
          <w:tcPr>
            <w:tcW w:w="2384" w:type="dxa"/>
            <w:tcBorders>
              <w:top w:val="single" w:sz="4" w:space="0" w:color="auto"/>
              <w:left w:val="single" w:sz="4" w:space="0" w:color="auto"/>
              <w:bottom w:val="single" w:sz="4" w:space="0" w:color="auto"/>
              <w:right w:val="single" w:sz="4" w:space="0" w:color="auto"/>
            </w:tcBorders>
            <w:vAlign w:val="bottom"/>
          </w:tcPr>
          <w:p w:rsidR="00FF2EC0" w:rsidRPr="001D50E3" w:rsidRDefault="00FF2EC0" w:rsidP="00754C28">
            <w:pPr>
              <w:spacing w:after="160" w:line="276" w:lineRule="auto"/>
              <w:jc w:val="both"/>
              <w:rPr>
                <w:rFonts w:ascii="Arial" w:eastAsia="Times New Roman" w:hAnsi="Arial" w:cs="Arial"/>
                <w:b/>
                <w:iCs/>
                <w:noProof/>
                <w:lang w:eastAsia="en-GB"/>
              </w:rPr>
            </w:pPr>
            <w:r w:rsidRPr="001D50E3">
              <w:rPr>
                <w:rFonts w:ascii="Arial" w:eastAsia="Times New Roman" w:hAnsi="Arial" w:cs="Arial"/>
                <w:b/>
                <w:iCs/>
                <w:noProof/>
                <w:lang w:eastAsia="en-GB"/>
              </w:rPr>
              <w:t>Shuma (euro)</w:t>
            </w:r>
          </w:p>
          <w:p w:rsidR="00FF2EC0" w:rsidRPr="001D50E3" w:rsidRDefault="00FF2EC0" w:rsidP="00754C28">
            <w:pPr>
              <w:spacing w:after="160" w:line="276" w:lineRule="auto"/>
              <w:jc w:val="both"/>
              <w:rPr>
                <w:rFonts w:ascii="Arial" w:eastAsia="Times New Roman" w:hAnsi="Arial" w:cs="Arial"/>
                <w:b/>
                <w:iCs/>
                <w:noProof/>
                <w:lang w:eastAsia="en-GB"/>
              </w:rPr>
            </w:pPr>
            <w:r w:rsidRPr="001D50E3">
              <w:rPr>
                <w:rFonts w:ascii="Arial" w:eastAsia="Times New Roman" w:hAnsi="Arial" w:cs="Arial"/>
                <w:b/>
                <w:iCs/>
                <w:noProof/>
                <w:lang w:eastAsia="en-GB"/>
              </w:rPr>
              <w:t>7 983 003,97</w:t>
            </w:r>
          </w:p>
        </w:tc>
      </w:tr>
    </w:tbl>
    <w:p w:rsidR="00FF2EC0" w:rsidRPr="001D50E3" w:rsidRDefault="00FF2EC0" w:rsidP="00754C28">
      <w:pPr>
        <w:spacing w:line="276" w:lineRule="auto"/>
        <w:jc w:val="both"/>
        <w:rPr>
          <w:rFonts w:ascii="Arial" w:hAnsi="Arial" w:cs="Arial"/>
        </w:rPr>
      </w:pPr>
      <w:r w:rsidRPr="001D50E3">
        <w:rPr>
          <w:rFonts w:ascii="Arial" w:hAnsi="Arial" w:cs="Arial"/>
          <w:lang w:val="sq-AL"/>
        </w:rPr>
        <w:t xml:space="preserve">Tabela 6 </w:t>
      </w:r>
      <w:r w:rsidRPr="001D50E3">
        <w:rPr>
          <w:rFonts w:ascii="Arial" w:hAnsi="Arial" w:cs="Arial"/>
        </w:rPr>
        <w:t>Dimensioni 2 - mekanizmi i dergeses territorial dhe fokusi territorial</w:t>
      </w:r>
    </w:p>
    <w:tbl>
      <w:tblPr>
        <w:tblStyle w:val="TableGrid1"/>
        <w:tblW w:w="9923" w:type="dxa"/>
        <w:tblInd w:w="-147" w:type="dxa"/>
        <w:tblLook w:val="04A0" w:firstRow="1" w:lastRow="0" w:firstColumn="1" w:lastColumn="0" w:noHBand="0" w:noVBand="1"/>
      </w:tblPr>
      <w:tblGrid>
        <w:gridCol w:w="2017"/>
        <w:gridCol w:w="1657"/>
        <w:gridCol w:w="1898"/>
        <w:gridCol w:w="1204"/>
        <w:gridCol w:w="3147"/>
      </w:tblGrid>
      <w:tr w:rsidR="00FF2EC0" w:rsidRPr="001D50E3" w:rsidTr="00754C28">
        <w:tc>
          <w:tcPr>
            <w:tcW w:w="2017" w:type="dxa"/>
            <w:tcBorders>
              <w:top w:val="single" w:sz="4" w:space="0" w:color="auto"/>
              <w:left w:val="single" w:sz="4" w:space="0" w:color="auto"/>
              <w:bottom w:val="single" w:sz="4" w:space="0" w:color="auto"/>
              <w:right w:val="single" w:sz="4" w:space="0" w:color="auto"/>
            </w:tcBorders>
            <w:hideMark/>
          </w:tcPr>
          <w:p w:rsidR="00FF2EC0" w:rsidRPr="001D50E3" w:rsidRDefault="00FF2EC0" w:rsidP="00754C28">
            <w:pPr>
              <w:spacing w:after="160" w:line="276" w:lineRule="auto"/>
              <w:jc w:val="both"/>
              <w:rPr>
                <w:rFonts w:ascii="Arial" w:eastAsia="Times New Roman" w:hAnsi="Arial" w:cs="Arial"/>
                <w:b/>
                <w:iCs/>
                <w:noProof/>
                <w:lang w:val="mk-MK" w:eastAsia="en-GB"/>
              </w:rPr>
            </w:pPr>
            <w:r w:rsidRPr="001D50E3">
              <w:rPr>
                <w:rFonts w:ascii="Arial" w:eastAsia="Times New Roman" w:hAnsi="Arial" w:cs="Arial"/>
                <w:b/>
                <w:iCs/>
                <w:noProof/>
                <w:lang w:val="sq-AL" w:eastAsia="en-GB"/>
              </w:rPr>
              <w:t>Prioritet nr</w:t>
            </w:r>
            <w:r w:rsidRPr="001D50E3">
              <w:rPr>
                <w:rFonts w:ascii="Arial" w:eastAsia="Times New Roman" w:hAnsi="Arial" w:cs="Arial"/>
                <w:b/>
                <w:iCs/>
                <w:noProof/>
                <w:lang w:val="mk-MK" w:eastAsia="en-GB"/>
              </w:rPr>
              <w:t>.</w:t>
            </w:r>
          </w:p>
        </w:tc>
        <w:tc>
          <w:tcPr>
            <w:tcW w:w="1657" w:type="dxa"/>
            <w:tcBorders>
              <w:top w:val="single" w:sz="4" w:space="0" w:color="auto"/>
              <w:left w:val="single" w:sz="4" w:space="0" w:color="auto"/>
              <w:bottom w:val="single" w:sz="4" w:space="0" w:color="auto"/>
              <w:right w:val="single" w:sz="4" w:space="0" w:color="auto"/>
            </w:tcBorders>
            <w:hideMark/>
          </w:tcPr>
          <w:p w:rsidR="00FF2EC0" w:rsidRPr="001D50E3" w:rsidRDefault="00FF2EC0" w:rsidP="00754C28">
            <w:pPr>
              <w:spacing w:after="160" w:line="276" w:lineRule="auto"/>
              <w:jc w:val="both"/>
              <w:rPr>
                <w:rFonts w:ascii="Arial" w:eastAsia="Times New Roman" w:hAnsi="Arial" w:cs="Arial"/>
                <w:b/>
                <w:iCs/>
                <w:noProof/>
                <w:lang w:val="sq-AL" w:eastAsia="en-GB"/>
              </w:rPr>
            </w:pPr>
            <w:r w:rsidRPr="001D50E3">
              <w:rPr>
                <w:rFonts w:ascii="Arial" w:eastAsia="Times New Roman" w:hAnsi="Arial" w:cs="Arial"/>
                <w:b/>
                <w:iCs/>
                <w:noProof/>
                <w:lang w:val="sq-AL" w:eastAsia="en-GB"/>
              </w:rPr>
              <w:t>Fond</w:t>
            </w:r>
          </w:p>
        </w:tc>
        <w:tc>
          <w:tcPr>
            <w:tcW w:w="1898" w:type="dxa"/>
            <w:tcBorders>
              <w:top w:val="single" w:sz="4" w:space="0" w:color="auto"/>
              <w:left w:val="single" w:sz="4" w:space="0" w:color="auto"/>
              <w:bottom w:val="single" w:sz="4" w:space="0" w:color="auto"/>
              <w:right w:val="single" w:sz="4" w:space="0" w:color="auto"/>
            </w:tcBorders>
            <w:hideMark/>
          </w:tcPr>
          <w:p w:rsidR="00FF2EC0" w:rsidRPr="001D50E3" w:rsidRDefault="00FF2EC0" w:rsidP="00754C28">
            <w:pPr>
              <w:spacing w:after="160" w:line="276" w:lineRule="auto"/>
              <w:jc w:val="both"/>
              <w:rPr>
                <w:rFonts w:ascii="Arial" w:eastAsia="Times New Roman" w:hAnsi="Arial" w:cs="Arial"/>
                <w:b/>
                <w:iCs/>
                <w:noProof/>
                <w:lang w:val="sq-AL" w:eastAsia="en-GB"/>
              </w:rPr>
            </w:pPr>
            <w:r w:rsidRPr="001D50E3">
              <w:rPr>
                <w:rFonts w:ascii="Arial" w:eastAsia="Times New Roman" w:hAnsi="Arial" w:cs="Arial"/>
                <w:b/>
                <w:iCs/>
                <w:noProof/>
                <w:lang w:val="sq-AL" w:eastAsia="en-GB"/>
              </w:rPr>
              <w:t xml:space="preserve">Qëllimi specifik </w:t>
            </w:r>
          </w:p>
        </w:tc>
        <w:tc>
          <w:tcPr>
            <w:tcW w:w="1204" w:type="dxa"/>
            <w:tcBorders>
              <w:top w:val="single" w:sz="4" w:space="0" w:color="auto"/>
              <w:left w:val="single" w:sz="4" w:space="0" w:color="auto"/>
              <w:bottom w:val="single" w:sz="4" w:space="0" w:color="auto"/>
              <w:right w:val="single" w:sz="4" w:space="0" w:color="auto"/>
            </w:tcBorders>
            <w:hideMark/>
          </w:tcPr>
          <w:p w:rsidR="00FF2EC0" w:rsidRPr="001D50E3" w:rsidRDefault="00FF2EC0" w:rsidP="00754C28">
            <w:pPr>
              <w:spacing w:after="160" w:line="276" w:lineRule="auto"/>
              <w:jc w:val="both"/>
              <w:rPr>
                <w:rFonts w:ascii="Arial" w:eastAsia="Times New Roman" w:hAnsi="Arial" w:cs="Arial"/>
                <w:b/>
                <w:iCs/>
                <w:noProof/>
                <w:lang w:val="sq-AL" w:eastAsia="en-GB"/>
              </w:rPr>
            </w:pPr>
            <w:r w:rsidRPr="001D50E3">
              <w:rPr>
                <w:rFonts w:ascii="Arial" w:eastAsia="Times New Roman" w:hAnsi="Arial" w:cs="Arial"/>
                <w:b/>
                <w:iCs/>
                <w:noProof/>
                <w:lang w:val="sq-AL" w:eastAsia="en-GB"/>
              </w:rPr>
              <w:t>Kod</w:t>
            </w:r>
          </w:p>
        </w:tc>
        <w:tc>
          <w:tcPr>
            <w:tcW w:w="3147" w:type="dxa"/>
            <w:tcBorders>
              <w:top w:val="single" w:sz="4" w:space="0" w:color="auto"/>
              <w:left w:val="single" w:sz="4" w:space="0" w:color="auto"/>
              <w:bottom w:val="single" w:sz="4" w:space="0" w:color="auto"/>
              <w:right w:val="single" w:sz="4" w:space="0" w:color="auto"/>
            </w:tcBorders>
            <w:hideMark/>
          </w:tcPr>
          <w:p w:rsidR="00FF2EC0" w:rsidRPr="001D50E3" w:rsidRDefault="00FF2EC0" w:rsidP="00754C28">
            <w:pPr>
              <w:spacing w:after="160" w:line="276" w:lineRule="auto"/>
              <w:jc w:val="both"/>
              <w:rPr>
                <w:rFonts w:ascii="Arial" w:eastAsia="Times New Roman" w:hAnsi="Arial" w:cs="Arial"/>
                <w:b/>
                <w:iCs/>
                <w:noProof/>
                <w:lang w:eastAsia="en-GB"/>
              </w:rPr>
            </w:pPr>
            <w:r w:rsidRPr="001D50E3">
              <w:rPr>
                <w:rFonts w:ascii="Arial" w:eastAsia="Times New Roman" w:hAnsi="Arial" w:cs="Arial"/>
                <w:b/>
                <w:iCs/>
                <w:noProof/>
                <w:lang w:val="sq-AL" w:eastAsia="en-GB"/>
              </w:rPr>
              <w:t xml:space="preserve">Shuma </w:t>
            </w:r>
            <w:r w:rsidRPr="001D50E3">
              <w:rPr>
                <w:rFonts w:ascii="Arial" w:eastAsia="Times New Roman" w:hAnsi="Arial" w:cs="Arial"/>
                <w:b/>
                <w:iCs/>
                <w:noProof/>
                <w:lang w:eastAsia="en-GB"/>
              </w:rPr>
              <w:t xml:space="preserve"> (</w:t>
            </w:r>
            <w:r w:rsidRPr="001D50E3">
              <w:rPr>
                <w:rFonts w:ascii="Arial" w:eastAsia="Times New Roman" w:hAnsi="Arial" w:cs="Arial"/>
                <w:b/>
                <w:iCs/>
                <w:noProof/>
                <w:lang w:val="sq-AL" w:eastAsia="en-GB"/>
              </w:rPr>
              <w:t>euro</w:t>
            </w:r>
            <w:r w:rsidRPr="001D50E3">
              <w:rPr>
                <w:rFonts w:ascii="Arial" w:eastAsia="Times New Roman" w:hAnsi="Arial" w:cs="Arial"/>
                <w:b/>
                <w:iCs/>
                <w:noProof/>
                <w:lang w:eastAsia="en-GB"/>
              </w:rPr>
              <w:t>)</w:t>
            </w:r>
          </w:p>
        </w:tc>
      </w:tr>
      <w:tr w:rsidR="00FF2EC0" w:rsidRPr="001D50E3" w:rsidTr="00754C28">
        <w:tc>
          <w:tcPr>
            <w:tcW w:w="2017" w:type="dxa"/>
            <w:tcBorders>
              <w:top w:val="single" w:sz="4" w:space="0" w:color="auto"/>
              <w:left w:val="single" w:sz="4" w:space="0" w:color="auto"/>
              <w:bottom w:val="single" w:sz="4" w:space="0" w:color="auto"/>
              <w:right w:val="single" w:sz="4" w:space="0" w:color="auto"/>
            </w:tcBorders>
            <w:hideMark/>
          </w:tcPr>
          <w:p w:rsidR="00FF2EC0" w:rsidRPr="001D50E3" w:rsidRDefault="00FF2EC0" w:rsidP="00754C28">
            <w:pPr>
              <w:spacing w:after="160" w:line="276" w:lineRule="auto"/>
              <w:jc w:val="both"/>
              <w:rPr>
                <w:rFonts w:ascii="Arial" w:eastAsia="Times New Roman" w:hAnsi="Arial" w:cs="Arial"/>
                <w:b/>
                <w:iCs/>
                <w:noProof/>
                <w:lang w:eastAsia="en-GB"/>
              </w:rPr>
            </w:pPr>
            <w:r w:rsidRPr="001D50E3">
              <w:rPr>
                <w:rFonts w:ascii="Arial" w:eastAsia="Times New Roman" w:hAnsi="Arial" w:cs="Arial"/>
                <w:b/>
                <w:iCs/>
                <w:noProof/>
                <w:lang w:eastAsia="en-GB"/>
              </w:rPr>
              <w:t>1</w:t>
            </w:r>
          </w:p>
        </w:tc>
        <w:tc>
          <w:tcPr>
            <w:tcW w:w="1657" w:type="dxa"/>
            <w:tcBorders>
              <w:top w:val="single" w:sz="4" w:space="0" w:color="auto"/>
              <w:left w:val="single" w:sz="4" w:space="0" w:color="auto"/>
              <w:bottom w:val="single" w:sz="4" w:space="0" w:color="auto"/>
              <w:right w:val="single" w:sz="4" w:space="0" w:color="auto"/>
            </w:tcBorders>
            <w:vAlign w:val="center"/>
            <w:hideMark/>
          </w:tcPr>
          <w:p w:rsidR="00FF2EC0" w:rsidRPr="001D50E3" w:rsidRDefault="00FF2EC0" w:rsidP="00754C28">
            <w:pPr>
              <w:spacing w:after="160" w:line="276" w:lineRule="auto"/>
              <w:jc w:val="both"/>
              <w:rPr>
                <w:rFonts w:ascii="Arial" w:eastAsia="Times New Roman" w:hAnsi="Arial" w:cs="Arial"/>
                <w:b/>
                <w:iCs/>
                <w:noProof/>
                <w:lang w:eastAsia="en-GB"/>
              </w:rPr>
            </w:pPr>
            <w:r w:rsidRPr="001D50E3">
              <w:rPr>
                <w:rFonts w:ascii="Arial" w:hAnsi="Arial" w:cs="Arial"/>
              </w:rPr>
              <w:t>Fondet e Unionit (EFRR dhe IPA)</w:t>
            </w:r>
          </w:p>
        </w:tc>
        <w:tc>
          <w:tcPr>
            <w:tcW w:w="1898" w:type="dxa"/>
            <w:tcBorders>
              <w:top w:val="single" w:sz="4" w:space="0" w:color="auto"/>
              <w:left w:val="single" w:sz="4" w:space="0" w:color="auto"/>
              <w:bottom w:val="single" w:sz="4" w:space="0" w:color="auto"/>
              <w:right w:val="single" w:sz="4" w:space="0" w:color="auto"/>
            </w:tcBorders>
            <w:hideMark/>
          </w:tcPr>
          <w:p w:rsidR="00FF2EC0" w:rsidRPr="001D50E3" w:rsidRDefault="00FF2EC0" w:rsidP="00754C28">
            <w:pPr>
              <w:spacing w:after="160" w:line="276" w:lineRule="auto"/>
              <w:jc w:val="both"/>
              <w:rPr>
                <w:rFonts w:ascii="Arial" w:eastAsia="Times New Roman" w:hAnsi="Arial" w:cs="Arial"/>
                <w:b/>
                <w:iCs/>
                <w:noProof/>
                <w:lang w:eastAsia="en-GB"/>
              </w:rPr>
            </w:pPr>
            <w:r w:rsidRPr="001D50E3">
              <w:rPr>
                <w:rFonts w:ascii="Arial" w:eastAsia="Times New Roman" w:hAnsi="Arial" w:cs="Arial"/>
                <w:b/>
                <w:iCs/>
                <w:noProof/>
                <w:lang w:eastAsia="en-GB"/>
              </w:rPr>
              <w:t>1.1.</w:t>
            </w:r>
          </w:p>
        </w:tc>
        <w:tc>
          <w:tcPr>
            <w:tcW w:w="1204" w:type="dxa"/>
            <w:tcBorders>
              <w:top w:val="single" w:sz="4" w:space="0" w:color="auto"/>
              <w:left w:val="single" w:sz="4" w:space="0" w:color="auto"/>
              <w:bottom w:val="single" w:sz="4" w:space="0" w:color="auto"/>
              <w:right w:val="single" w:sz="4" w:space="0" w:color="auto"/>
            </w:tcBorders>
            <w:vAlign w:val="center"/>
            <w:hideMark/>
          </w:tcPr>
          <w:p w:rsidR="00FF2EC0" w:rsidRPr="001D50E3" w:rsidRDefault="00FF2EC0" w:rsidP="00754C28">
            <w:pPr>
              <w:spacing w:after="160" w:line="276" w:lineRule="auto"/>
              <w:jc w:val="both"/>
              <w:rPr>
                <w:rFonts w:ascii="Arial" w:eastAsia="Times New Roman" w:hAnsi="Arial" w:cs="Arial"/>
                <w:b/>
                <w:iCs/>
                <w:noProof/>
                <w:lang w:val="sq-AL" w:eastAsia="en-GB"/>
              </w:rPr>
            </w:pPr>
            <w:r w:rsidRPr="001D50E3">
              <w:rPr>
                <w:rFonts w:ascii="Arial" w:eastAsia="Times New Roman" w:hAnsi="Arial" w:cs="Arial"/>
                <w:b/>
                <w:iCs/>
                <w:noProof/>
                <w:lang w:eastAsia="en-GB"/>
              </w:rPr>
              <w:t>17</w:t>
            </w:r>
            <w:r w:rsidRPr="001D50E3">
              <w:rPr>
                <w:rFonts w:ascii="Arial" w:eastAsia="Times New Roman" w:hAnsi="Arial" w:cs="Arial"/>
                <w:b/>
                <w:iCs/>
                <w:noProof/>
                <w:lang w:val="mk-MK" w:eastAsia="en-GB"/>
              </w:rPr>
              <w:t xml:space="preserve"> </w:t>
            </w:r>
            <w:r w:rsidRPr="001D50E3">
              <w:rPr>
                <w:rFonts w:ascii="Arial" w:eastAsia="Times New Roman" w:hAnsi="Arial" w:cs="Arial"/>
                <w:b/>
                <w:iCs/>
                <w:noProof/>
                <w:lang w:val="sq-AL" w:eastAsia="en-GB"/>
              </w:rPr>
              <w:t>Kojshi urban (mahalla urbane)</w:t>
            </w:r>
          </w:p>
          <w:p w:rsidR="00FF2EC0" w:rsidRPr="001D50E3" w:rsidRDefault="00FF2EC0" w:rsidP="00754C28">
            <w:pPr>
              <w:spacing w:after="160" w:line="276" w:lineRule="auto"/>
              <w:jc w:val="both"/>
              <w:rPr>
                <w:rFonts w:ascii="Arial" w:eastAsia="Times New Roman" w:hAnsi="Arial" w:cs="Arial"/>
                <w:b/>
                <w:iCs/>
                <w:noProof/>
                <w:lang w:eastAsia="en-GB"/>
              </w:rPr>
            </w:pPr>
            <w:r w:rsidRPr="001D50E3">
              <w:rPr>
                <w:rFonts w:ascii="Arial" w:eastAsia="Times New Roman" w:hAnsi="Arial" w:cs="Arial"/>
                <w:b/>
                <w:iCs/>
                <w:noProof/>
                <w:lang w:eastAsia="en-GB"/>
              </w:rPr>
              <w:t xml:space="preserve">  </w:t>
            </w:r>
          </w:p>
        </w:tc>
        <w:tc>
          <w:tcPr>
            <w:tcW w:w="3147" w:type="dxa"/>
            <w:tcBorders>
              <w:top w:val="single" w:sz="4" w:space="0" w:color="auto"/>
              <w:left w:val="single" w:sz="4" w:space="0" w:color="auto"/>
              <w:bottom w:val="single" w:sz="4" w:space="0" w:color="auto"/>
              <w:right w:val="single" w:sz="4" w:space="0" w:color="auto"/>
            </w:tcBorders>
          </w:tcPr>
          <w:p w:rsidR="00FF2EC0" w:rsidRPr="001D50E3" w:rsidRDefault="00FF2EC0" w:rsidP="00754C28">
            <w:pPr>
              <w:spacing w:after="160" w:line="276" w:lineRule="auto"/>
              <w:jc w:val="both"/>
              <w:rPr>
                <w:rFonts w:ascii="Arial" w:eastAsia="Times New Roman" w:hAnsi="Arial" w:cs="Arial"/>
                <w:b/>
                <w:iCs/>
                <w:noProof/>
                <w:lang w:eastAsia="en-GB"/>
              </w:rPr>
            </w:pPr>
          </w:p>
        </w:tc>
      </w:tr>
    </w:tbl>
    <w:p w:rsidR="00FF2EC0" w:rsidRPr="001D50E3" w:rsidRDefault="00FF2EC0" w:rsidP="00754C28">
      <w:pPr>
        <w:spacing w:line="276" w:lineRule="auto"/>
        <w:jc w:val="both"/>
        <w:rPr>
          <w:rFonts w:ascii="Arial" w:hAnsi="Arial" w:cs="Arial"/>
        </w:rPr>
      </w:pPr>
    </w:p>
    <w:p w:rsidR="00FF2EC0" w:rsidRPr="001D50E3" w:rsidRDefault="00FF2EC0" w:rsidP="00754C28">
      <w:pPr>
        <w:spacing w:line="276" w:lineRule="auto"/>
        <w:jc w:val="both"/>
        <w:rPr>
          <w:rFonts w:ascii="Arial" w:hAnsi="Arial" w:cs="Arial"/>
          <w:b/>
        </w:rPr>
      </w:pPr>
      <w:r w:rsidRPr="001D50E3">
        <w:rPr>
          <w:rFonts w:ascii="Arial" w:hAnsi="Arial" w:cs="Arial"/>
          <w:b/>
        </w:rPr>
        <w:t>2.3. Prioriteti 3. Zhvillimi i integruar i rajonit ndërkufitar</w:t>
      </w:r>
    </w:p>
    <w:p w:rsidR="00FF2EC0" w:rsidRPr="001D50E3" w:rsidRDefault="00FF2EC0" w:rsidP="00754C28">
      <w:pPr>
        <w:spacing w:line="276" w:lineRule="auto"/>
        <w:jc w:val="both"/>
        <w:rPr>
          <w:rFonts w:ascii="Arial" w:hAnsi="Arial" w:cs="Arial"/>
        </w:rPr>
      </w:pPr>
      <w:r w:rsidRPr="001D50E3">
        <w:rPr>
          <w:rFonts w:ascii="Arial" w:hAnsi="Arial" w:cs="Arial"/>
        </w:rPr>
        <w:t>Referenca: pika (d) e nenit 17 (3)</w:t>
      </w:r>
    </w:p>
    <w:p w:rsidR="00FF2EC0" w:rsidRPr="001D50E3" w:rsidRDefault="00FF2EC0" w:rsidP="00754C28">
      <w:pPr>
        <w:spacing w:line="276" w:lineRule="auto"/>
        <w:jc w:val="both"/>
        <w:rPr>
          <w:rFonts w:ascii="Arial" w:hAnsi="Arial" w:cs="Arial"/>
        </w:rPr>
      </w:pPr>
      <w:r w:rsidRPr="001D50E3">
        <w:rPr>
          <w:rFonts w:ascii="Arial" w:hAnsi="Arial" w:cs="Arial"/>
        </w:rPr>
        <w:t>Fusha e tekstit: [7000]</w:t>
      </w:r>
    </w:p>
    <w:p w:rsidR="00FF2EC0" w:rsidRPr="001D50E3" w:rsidRDefault="00FF2EC0" w:rsidP="00754C28">
      <w:pPr>
        <w:spacing w:line="276" w:lineRule="auto"/>
        <w:jc w:val="both"/>
        <w:rPr>
          <w:rFonts w:ascii="Arial" w:hAnsi="Arial" w:cs="Arial"/>
        </w:rPr>
      </w:pPr>
      <w:r w:rsidRPr="001D50E3">
        <w:rPr>
          <w:rFonts w:ascii="Arial" w:hAnsi="Arial" w:cs="Arial"/>
        </w:rPr>
        <w:t>Mbështetja e një strategjie të integruar të zhvillimit territorial për rritjen ekonomike, mjedisore, klimatike, demografike dhe sociale</w:t>
      </w:r>
    </w:p>
    <w:p w:rsidR="00FF2EC0" w:rsidRPr="001D50E3" w:rsidRDefault="00FF2EC0" w:rsidP="00754C28">
      <w:pPr>
        <w:spacing w:line="276" w:lineRule="auto"/>
        <w:jc w:val="both"/>
        <w:rPr>
          <w:rFonts w:ascii="Arial" w:hAnsi="Arial" w:cs="Arial"/>
        </w:rPr>
      </w:pPr>
      <w:r w:rsidRPr="001D50E3">
        <w:rPr>
          <w:rFonts w:ascii="Arial" w:hAnsi="Arial" w:cs="Arial"/>
        </w:rPr>
        <w:t>2.3.1. Objektivi specifik: (përsëritet për çdo qëllim specifik të zgjedhur)</w:t>
      </w:r>
    </w:p>
    <w:p w:rsidR="00FF2EC0" w:rsidRPr="001D50E3" w:rsidRDefault="00FF2EC0" w:rsidP="00754C28">
      <w:pPr>
        <w:spacing w:line="276" w:lineRule="auto"/>
        <w:jc w:val="both"/>
        <w:rPr>
          <w:rFonts w:ascii="Arial" w:hAnsi="Arial" w:cs="Arial"/>
        </w:rPr>
      </w:pPr>
      <w:r w:rsidRPr="001D50E3">
        <w:rPr>
          <w:rFonts w:ascii="Arial" w:hAnsi="Arial" w:cs="Arial"/>
        </w:rPr>
        <w:t>Fusha  e tekstit: [7000]</w:t>
      </w:r>
    </w:p>
    <w:p w:rsidR="00FF2EC0" w:rsidRPr="001D50E3" w:rsidRDefault="00FF2EC0" w:rsidP="00754C28">
      <w:pPr>
        <w:spacing w:line="276" w:lineRule="auto"/>
        <w:jc w:val="both"/>
        <w:rPr>
          <w:rFonts w:ascii="Arial" w:hAnsi="Arial" w:cs="Arial"/>
        </w:rPr>
      </w:pPr>
      <w:r w:rsidRPr="001D50E3">
        <w:rPr>
          <w:rFonts w:ascii="Arial" w:hAnsi="Arial" w:cs="Arial"/>
        </w:rPr>
        <w:t>3.1 Promovimi i zhvillimit të integruar social, ekonomik dhe mjedisor, trashëgimisë kulturore dhe sigurisë në zona të ndryshme nga ato urbane</w:t>
      </w:r>
    </w:p>
    <w:p w:rsidR="00FF2EC0" w:rsidRPr="001D50E3" w:rsidRDefault="00FF2EC0" w:rsidP="00754C28">
      <w:pPr>
        <w:spacing w:line="276" w:lineRule="auto"/>
        <w:jc w:val="both"/>
        <w:rPr>
          <w:rFonts w:ascii="Arial" w:hAnsi="Arial" w:cs="Arial"/>
        </w:rPr>
      </w:pPr>
      <w:r w:rsidRPr="001D50E3">
        <w:rPr>
          <w:rFonts w:ascii="Arial" w:hAnsi="Arial" w:cs="Arial"/>
        </w:rPr>
        <w:t>Referenca: pika (e) e nenit 17 (3)</w:t>
      </w:r>
    </w:p>
    <w:p w:rsidR="00FF2EC0" w:rsidRPr="001D50E3" w:rsidRDefault="00FF2EC0" w:rsidP="00754C28">
      <w:pPr>
        <w:spacing w:line="276" w:lineRule="auto"/>
        <w:jc w:val="both"/>
        <w:rPr>
          <w:rFonts w:ascii="Arial" w:hAnsi="Arial" w:cs="Arial"/>
          <w:b/>
        </w:rPr>
      </w:pPr>
      <w:r w:rsidRPr="001D50E3">
        <w:rPr>
          <w:rFonts w:ascii="Arial" w:hAnsi="Arial" w:cs="Arial"/>
          <w:b/>
        </w:rPr>
        <w:t>2.3.2. Llojet e ndërlidhura të veprimeve dhe kontributi i tyre i pritshëm në ato objektiva specifike dhe strategji makro-rajonale dhe detare,atje ku është e përshtatshme</w:t>
      </w:r>
    </w:p>
    <w:p w:rsidR="00FF2EC0" w:rsidRPr="001D50E3" w:rsidRDefault="00FF2EC0" w:rsidP="00754C28">
      <w:pPr>
        <w:spacing w:line="276" w:lineRule="auto"/>
        <w:jc w:val="both"/>
        <w:rPr>
          <w:rFonts w:ascii="Arial" w:hAnsi="Arial" w:cs="Arial"/>
        </w:rPr>
      </w:pPr>
      <w:r w:rsidRPr="001D50E3">
        <w:rPr>
          <w:rFonts w:ascii="Arial" w:hAnsi="Arial" w:cs="Arial"/>
        </w:rPr>
        <w:t>Referenca: pika (e) (i) e nenit 17 (3), pika (c) (ii) e nenit 17 (9)</w:t>
      </w:r>
    </w:p>
    <w:p w:rsidR="00FF2EC0" w:rsidRPr="001D50E3" w:rsidRDefault="00FF2EC0" w:rsidP="00754C28">
      <w:pPr>
        <w:spacing w:line="276" w:lineRule="auto"/>
        <w:jc w:val="both"/>
        <w:rPr>
          <w:rFonts w:ascii="Arial" w:hAnsi="Arial" w:cs="Arial"/>
          <w:lang w:val="sq-AL"/>
        </w:rPr>
      </w:pPr>
      <w:r w:rsidRPr="001D50E3">
        <w:rPr>
          <w:rFonts w:ascii="Arial" w:hAnsi="Arial" w:cs="Arial"/>
          <w:lang w:val="sq-AL"/>
        </w:rPr>
        <w:t>Fusha e tekstit [7000]</w:t>
      </w:r>
    </w:p>
    <w:p w:rsidR="00FF2EC0" w:rsidRPr="001D50E3" w:rsidRDefault="00FF2EC0" w:rsidP="00754C28">
      <w:pPr>
        <w:spacing w:line="276" w:lineRule="auto"/>
        <w:jc w:val="both"/>
        <w:rPr>
          <w:rFonts w:ascii="Arial" w:hAnsi="Arial" w:cs="Arial"/>
          <w:lang w:val="sq-AL"/>
        </w:rPr>
      </w:pPr>
      <w:r w:rsidRPr="001D50E3">
        <w:rPr>
          <w:rFonts w:ascii="Arial" w:hAnsi="Arial" w:cs="Arial"/>
          <w:lang w:val="sq-AL"/>
        </w:rPr>
        <w:t xml:space="preserve">Prioriteti 3 'Zhvillimi i Integruar i Rajonit Kufitar' do të mundësojë adresimin e sfidave multidisiplinore të zonës kufitare nëpërmjet një strategjie të zhvillimit territorial, duke aplikuar masa të integruara në sektorë të ndryshëm. Investimet e integruara për të stimuluar zhvillimin </w:t>
      </w:r>
      <w:r w:rsidRPr="001D50E3">
        <w:rPr>
          <w:rFonts w:ascii="Arial" w:hAnsi="Arial" w:cs="Arial"/>
          <w:lang w:val="sq-AL"/>
        </w:rPr>
        <w:lastRenderedPageBreak/>
        <w:t>territorial në ekonominë lokale do të sjellin vlerë më të madhe të shtuar dhe do të ofrojnë një efekt mbështetës nga fondet EFRR dhe IPA.</w:t>
      </w:r>
    </w:p>
    <w:p w:rsidR="00FF2EC0" w:rsidRPr="001D50E3" w:rsidRDefault="00FF2EC0" w:rsidP="00754C28">
      <w:pPr>
        <w:spacing w:line="276" w:lineRule="auto"/>
        <w:jc w:val="both"/>
        <w:rPr>
          <w:rFonts w:ascii="Arial" w:hAnsi="Arial" w:cs="Arial"/>
          <w:lang w:val="sq-AL"/>
        </w:rPr>
      </w:pPr>
      <w:r w:rsidRPr="001D50E3">
        <w:rPr>
          <w:rFonts w:ascii="Arial" w:hAnsi="Arial" w:cs="Arial"/>
          <w:lang w:val="sq-AL"/>
        </w:rPr>
        <w:t>Përvoja nga programet e realizuara më parë dhe rekomandimet e dhëna nga vlerësimi i kryer tregon se ka nevojë për ndryshim të qasjes për arritjen e synimeve dhe qëllimeve të programit. Programet e zbatuara deri më tani kanë dhënë një gamë të gjerë rezultatesh, por në të njëjtën kohë ka qenë e vështirë të përcaktohet efekti i tyre dhe vlera e shtuar e veçantë e bashkëpunimit ndërkufitar. Prandaj, ekziston një nevojë e fortë për të zëvendësuar investimet e pakoordinuara si pika me zgjidhje shumëpalëshe dhe shumësektoriale në të gjitha fushat kyçe të politikave që përcaktojnë shkallën e kohezionit territorial.</w:t>
      </w:r>
    </w:p>
    <w:p w:rsidR="00FF2EC0" w:rsidRPr="001D50E3" w:rsidRDefault="00FF2EC0" w:rsidP="00754C28">
      <w:pPr>
        <w:spacing w:line="276" w:lineRule="auto"/>
        <w:jc w:val="both"/>
        <w:rPr>
          <w:rFonts w:ascii="Arial" w:hAnsi="Arial" w:cs="Arial"/>
          <w:lang w:val="sq-AL"/>
        </w:rPr>
      </w:pPr>
      <w:r w:rsidRPr="001D50E3">
        <w:rPr>
          <w:rFonts w:ascii="Arial" w:hAnsi="Arial" w:cs="Arial"/>
          <w:lang w:val="sq-AL"/>
        </w:rPr>
        <w:t>Fusha e politikave që përshkruan perspektivat për zhvillimin ekonomik është Marrëveshja e Gjelbër Evropiane - EGD me tre objektiva: (1) Të mos ketë emetime neto të gazeve serrë deri në vitin 2050; (2) Rritja ekonomike është e ndarë nga përdorimi i burimeve dhe (3) Nuk lihet njeri dhe vend prapa. Një tranzicion i drejtë dhe gjithëpërfshirës është parimi udhëzues i ECA, i cili ka nevojë për zbatim urgjent në të gjithë sektorët, por veçanërisht në ata me një gjurmë të lartë mjedisore, si operacionet e ndërmarrjeve dhe turizmi. Kombinimi i ECA dhe Axhenda Territoriale 2030 sfidon më tej zonat e vogla dhe të pazhvilluara për të rishqyrtuar pengesat dhe potencialet e tyre territoriale në adresimin e nevojave lokale me qasje të pranuara globalisht (dekarbonizimi, simbioza industriale, gjithëpërfshirja). Kjo është axhenda e saktë territoriale për zhvillimin e integruar të zonës së programit - për të përmirësuar jetën e sotme me burime elastike, efikase dhe zgjidhje pa karbon.</w:t>
      </w:r>
    </w:p>
    <w:p w:rsidR="00FF2EC0" w:rsidRPr="001D50E3" w:rsidRDefault="00FF2EC0" w:rsidP="00754C28">
      <w:pPr>
        <w:spacing w:line="276" w:lineRule="auto"/>
        <w:jc w:val="both"/>
        <w:rPr>
          <w:rFonts w:ascii="Arial" w:hAnsi="Arial" w:cs="Arial"/>
          <w:lang w:val="sq-AL"/>
        </w:rPr>
      </w:pPr>
      <w:r w:rsidRPr="001D50E3">
        <w:rPr>
          <w:rFonts w:ascii="Arial" w:hAnsi="Arial" w:cs="Arial"/>
          <w:lang w:val="sq-AL"/>
        </w:rPr>
        <w:t>Territori për bashkëpunim ndërkufitar konsiderohet të ketë potencial ekonomik të pashfrytëzuar për shkak të marrëdhënieve të dobëta strukturore ndërmjet ndërmarrjeve, brendësisë së ulët, produktivitetit të kufizuar etj., në sfondin e avantazheve konkurruese ekzistuese: kufiri ndërmjet Ballkanit Perëndimor dhe Lindor; zonë e vendosur në rajonin më të zhvilluar NETS 2 në Republikën e Bullgarisë, bollëk i burimeve natyrore. Prandaj, aktivitetet e SME-ve, pjesëmarrja e tyre e përmirësuar në zinxhirët e vlerës ndërkombëtare (që përndryshe do të tregonte një tranzicion të suksesshëm të gjelbër dhe dixhital) dhe përdorimi i qëndrueshëm i burimeve turistike, pritet të forcojnë kohezionin territorial dhe të kontribuojnë pozitivisht në rritjen ekonomike të rajonit. NVM-të duhet të arrijnë treguesit kryesorë të prodhimit dhe performancës ekonomike me homologët e tyre të BE-së, si një parakusht për të luftuar inercinë e ekonomisë rajonale. Do të gjenerojë efekte pozitive për tejmbushjen e fushave kryesore të jetesës, të cilat përfundimisht do të rezultojnë në përmirësimin e cilësisë dhe standardeve të jetesës.</w:t>
      </w:r>
    </w:p>
    <w:p w:rsidR="00FF2EC0" w:rsidRPr="00754C28" w:rsidRDefault="00FF2EC0" w:rsidP="00754C28">
      <w:pPr>
        <w:spacing w:line="276" w:lineRule="auto"/>
        <w:jc w:val="both"/>
        <w:rPr>
          <w:rFonts w:ascii="Arial" w:hAnsi="Arial" w:cs="Arial"/>
          <w:lang w:val="mk-MK"/>
        </w:rPr>
      </w:pPr>
      <w:r w:rsidRPr="001D50E3">
        <w:rPr>
          <w:rFonts w:ascii="Arial" w:hAnsi="Arial" w:cs="Arial"/>
          <w:lang w:val="sq-AL"/>
        </w:rPr>
        <w:t>Prandaj, të gjitha këto gjetje dhe veçori territoriale formojnë orientimin strategjik dhe fokusin e SIM-it. Gjatë hartimit të strategjisë, zbatohet një nivel i arsyeshëm agregimi i kornizës strategjike në përputhje me qasjet e reja programore të manifestuara në politikën e kohezionit të BE-së 2021-2027, si dhe një parakusht për thjeshtimin e zbatimit. Prandaj, ITS ka një qëllim kryesor strategjik, të mbështetur nga dy qëllime specifike, përkatësisht:</w:t>
      </w:r>
    </w:p>
    <w:p w:rsidR="00FF2EC0" w:rsidRPr="00754C28" w:rsidRDefault="00FF2EC0" w:rsidP="00FF2EC0">
      <w:pPr>
        <w:jc w:val="both"/>
        <w:rPr>
          <w:rFonts w:ascii="Arial" w:hAnsi="Arial" w:cs="Arial"/>
          <w:lang w:val="mk-MK"/>
        </w:rPr>
      </w:pPr>
      <w:r w:rsidRPr="001D50E3">
        <w:rPr>
          <w:rFonts w:ascii="Arial" w:hAnsi="Arial" w:cs="Arial"/>
          <w:lang w:val="sq-AL"/>
        </w:rPr>
        <w:t>Qëllimi strategjik: Arritja e zhvillimit të integruar territorial me fokus konkurrencën dhe zhvillimin e turizmit</w:t>
      </w:r>
      <w:r w:rsidR="00754C28">
        <w:rPr>
          <w:rFonts w:ascii="Arial" w:hAnsi="Arial" w:cs="Arial"/>
          <w:lang w:val="mk-MK"/>
        </w:rPr>
        <w:t>.</w:t>
      </w:r>
    </w:p>
    <w:p w:rsidR="00754C28" w:rsidRPr="00754C28" w:rsidRDefault="00FF2EC0" w:rsidP="00FF2EC0">
      <w:pPr>
        <w:jc w:val="both"/>
        <w:rPr>
          <w:rFonts w:ascii="Arial" w:hAnsi="Arial" w:cs="Arial"/>
          <w:lang w:val="mk-MK"/>
        </w:rPr>
      </w:pPr>
      <w:r w:rsidRPr="001D50E3">
        <w:rPr>
          <w:rFonts w:ascii="Arial" w:hAnsi="Arial" w:cs="Arial"/>
          <w:lang w:val="sq-AL"/>
        </w:rPr>
        <w:t>Objektivi specifik 1: Rritja e konkurrencës së ekonomisë lokale dhe përmirësimi i mjedisit të biznesit</w:t>
      </w:r>
      <w:r w:rsidR="00754C28">
        <w:rPr>
          <w:rFonts w:ascii="Arial" w:hAnsi="Arial" w:cs="Arial"/>
          <w:lang w:val="mk-MK"/>
        </w:rPr>
        <w:t>.</w:t>
      </w:r>
    </w:p>
    <w:p w:rsidR="00FF2EC0" w:rsidRPr="00754C28" w:rsidRDefault="00FF2EC0" w:rsidP="00754C28">
      <w:pPr>
        <w:spacing w:line="276" w:lineRule="auto"/>
        <w:jc w:val="both"/>
        <w:rPr>
          <w:rFonts w:ascii="Arial" w:hAnsi="Arial" w:cs="Arial"/>
          <w:lang w:val="mk-MK"/>
        </w:rPr>
      </w:pPr>
      <w:r w:rsidRPr="001D50E3">
        <w:rPr>
          <w:rFonts w:ascii="Arial" w:hAnsi="Arial" w:cs="Arial"/>
          <w:lang w:val="sq-AL"/>
        </w:rPr>
        <w:lastRenderedPageBreak/>
        <w:t>Objektivi specifik 2: Trashëgimia kulturore dhe historike e Republikës së Bullgarisë dhe Republikës së Maqedonisë së Veriut: një parakusht për zhvillimin e një produkti turistik tërheqës për të gjitha stinët përmes zgjidhjeve të zgjuara që ofrojnë akses dhe pjesëmarrje universale</w:t>
      </w:r>
      <w:r w:rsidR="00754C28">
        <w:rPr>
          <w:rFonts w:ascii="Arial" w:hAnsi="Arial" w:cs="Arial"/>
          <w:lang w:val="mk-MK"/>
        </w:rPr>
        <w:t>.</w:t>
      </w:r>
    </w:p>
    <w:p w:rsidR="00FF2EC0" w:rsidRPr="00754C28" w:rsidRDefault="00FF2EC0" w:rsidP="00754C28">
      <w:pPr>
        <w:spacing w:line="276" w:lineRule="auto"/>
        <w:jc w:val="both"/>
        <w:rPr>
          <w:rFonts w:ascii="Arial" w:hAnsi="Arial" w:cs="Arial"/>
          <w:lang w:val="mk-MK"/>
        </w:rPr>
      </w:pPr>
      <w:r w:rsidRPr="001D50E3">
        <w:rPr>
          <w:rFonts w:ascii="Arial" w:hAnsi="Arial" w:cs="Arial"/>
          <w:lang w:val="sq-AL"/>
        </w:rPr>
        <w:t>Aktivitetet sipas të cilave këto synime përcaktohen në bazë të një strategjie territoriale të integruar (STI) në arritjen e Art. 28 (c) i RREGULLOREVE (BE) 2021/1060 TË PARLAMENTIT DHE TË KËSHILLIT EVROPIAN e datës 24 qershor 2021 që përcakton dispozita të përbashkëta për Fondin Evropian të Zhvillimit Rajonal, Fondin Social Evropian plus Fondin Evropian të Kohezionit, Fondin Evropian të Kohezionit dhe fondin e detit, peshkimit dhe akuakulturës dhe rregullat financiare për ta dhe për Fondin për Azilin, Migracionin dhe Integrimin, Fondin e Sigurisë së Brendshme dhe Instrumentin e Mbështetjes Financiare për Menaxhimin e Kufirit dhe Politikën e Vizave (CPR). Kështu, ITS adreson rrënjën e një prej sfidave kryesore territoriale - nivelet e të ardhurave që janë shumë nën mesataren e BE-së. Për të korrigjuar këtë mangësi, një pjesë e 20% të buxhetit prioritar do të ndahet në formën e mbështetjes direkte për NVM-të, aty ku është e aplikueshme nëpërmjet mjetit të Fondit të Projekteve të Vogla në përputhje me Art. 25 e RREGULLORES (BE) 2021/1059 TË PARLAMENTIT DHE TË KËSHILLIT EVROPIAN të datës 24 qershor 2021 mbi dispozitat specifike për Objektivin e Bashkëpunimit Territorial Evropian (Interreg) të mbështetur nga Fondi Evropian për Zhvillim Rajonal dhe Instrumentim (E).</w:t>
      </w:r>
    </w:p>
    <w:p w:rsidR="00FF2EC0" w:rsidRPr="00754C28" w:rsidRDefault="00FF2EC0" w:rsidP="00754C28">
      <w:pPr>
        <w:spacing w:line="276" w:lineRule="auto"/>
        <w:jc w:val="both"/>
        <w:rPr>
          <w:rFonts w:ascii="Arial" w:hAnsi="Arial" w:cs="Arial"/>
          <w:lang w:val="mk-MK"/>
        </w:rPr>
      </w:pPr>
      <w:r w:rsidRPr="001D50E3">
        <w:rPr>
          <w:rFonts w:ascii="Arial" w:hAnsi="Arial" w:cs="Arial"/>
          <w:lang w:val="sq-AL"/>
        </w:rPr>
        <w:t>Nga një këndvështrim tipik, ITS do të mbështesë një gamë të gjerë aktivitetesh - aktivitete kërkimore dhe zhvillimore; krijimi dhe shpërndarja e informacionit, njohurive dhe aftësive; trajnimi; shërbime; rrjetëzimi; politikëbërja; renovim të vogël, përmirësim dhe mirëmbajtje të rrugëve dhe objekteve me rëndësi publike; Mbrojtja dhe ruajtja e mjedisit etj. Rezultatet kumulative të të gjitha këtyre aktiviteteve të ndryshme që do të trajtojnë barrierat dhe sfidat e gjera tematike do të prodhojnë një efekt të integruar në zhvillimin territorial.</w:t>
      </w:r>
    </w:p>
    <w:p w:rsidR="00FF2EC0" w:rsidRPr="001D50E3" w:rsidRDefault="00FF2EC0" w:rsidP="00754C28">
      <w:pPr>
        <w:spacing w:line="276" w:lineRule="auto"/>
        <w:jc w:val="both"/>
        <w:rPr>
          <w:rFonts w:ascii="Arial" w:hAnsi="Arial" w:cs="Arial"/>
          <w:lang w:val="sq-AL"/>
        </w:rPr>
      </w:pPr>
      <w:r w:rsidRPr="001D50E3">
        <w:rPr>
          <w:rFonts w:ascii="Arial" w:hAnsi="Arial" w:cs="Arial"/>
          <w:lang w:val="sq-AL"/>
        </w:rPr>
        <w:t>Lista jo shteruese e veprimeve që duhen mbështetur përfshin:</w:t>
      </w:r>
    </w:p>
    <w:p w:rsidR="00FF2EC0" w:rsidRPr="001D50E3" w:rsidRDefault="00FF2EC0" w:rsidP="00754C28">
      <w:pPr>
        <w:spacing w:line="276" w:lineRule="auto"/>
        <w:jc w:val="both"/>
        <w:rPr>
          <w:rFonts w:ascii="Arial" w:hAnsi="Arial" w:cs="Arial"/>
          <w:lang w:val="sq-AL"/>
        </w:rPr>
      </w:pPr>
      <w:r w:rsidRPr="001D50E3">
        <w:rPr>
          <w:rFonts w:ascii="Arial" w:hAnsi="Arial" w:cs="Arial"/>
          <w:lang w:val="sq-AL"/>
        </w:rPr>
        <w:t>- Veprimet që synojnë rritjen e kapaciteteve prodhuese të SME-ve për t'u bërë më të gjelbra, më dixhitale dhe më konkurruese (modernizimi teknologjik);</w:t>
      </w:r>
    </w:p>
    <w:p w:rsidR="00FF2EC0" w:rsidRPr="001D50E3" w:rsidRDefault="00FF2EC0" w:rsidP="00754C28">
      <w:pPr>
        <w:spacing w:line="276" w:lineRule="auto"/>
        <w:jc w:val="both"/>
        <w:rPr>
          <w:rFonts w:ascii="Arial" w:hAnsi="Arial" w:cs="Arial"/>
          <w:lang w:val="sq-AL"/>
        </w:rPr>
      </w:pPr>
      <w:r w:rsidRPr="001D50E3">
        <w:rPr>
          <w:rFonts w:ascii="Arial" w:hAnsi="Arial" w:cs="Arial"/>
          <w:lang w:val="sq-AL"/>
        </w:rPr>
        <w:t>- Veprimet që synojnë përmirësimin e kapaciteteve të njohurive të SME-ve për të punuar në një mjedis më të gjelbër, më dixhital dhe më konkurrues (përvetësimi i njohurive dhe aftësive të reja, duke përfshirë aksesin në financat e jashtme);</w:t>
      </w:r>
    </w:p>
    <w:p w:rsidR="00FF2EC0" w:rsidRPr="001D50E3" w:rsidRDefault="00FF2EC0" w:rsidP="00754C28">
      <w:pPr>
        <w:spacing w:line="276" w:lineRule="auto"/>
        <w:jc w:val="both"/>
        <w:rPr>
          <w:rFonts w:ascii="Arial" w:hAnsi="Arial" w:cs="Arial"/>
          <w:lang w:val="sq-AL"/>
        </w:rPr>
      </w:pPr>
      <w:r w:rsidRPr="001D50E3">
        <w:rPr>
          <w:rFonts w:ascii="Arial" w:hAnsi="Arial" w:cs="Arial"/>
          <w:lang w:val="sq-AL"/>
        </w:rPr>
        <w:t>- Veprimet që synojnë ndërtimin e një procesi efektiv të zhvillimit të produktit (mbulon të gjithë hapat e nevojshëm për të çuar produktin nga koncepti në disponueshmërinë e tregut) dhe arritjen e tregjeve të reja (marketing, sipërmarrje, ndërkombëtarizim);</w:t>
      </w:r>
    </w:p>
    <w:p w:rsidR="00FF2EC0" w:rsidRPr="001D50E3" w:rsidRDefault="00FF2EC0" w:rsidP="00754C28">
      <w:pPr>
        <w:spacing w:line="276" w:lineRule="auto"/>
        <w:jc w:val="both"/>
        <w:rPr>
          <w:rFonts w:ascii="Arial" w:hAnsi="Arial" w:cs="Arial"/>
          <w:lang w:val="sq-AL"/>
        </w:rPr>
      </w:pPr>
      <w:r w:rsidRPr="001D50E3">
        <w:rPr>
          <w:rFonts w:ascii="Arial" w:hAnsi="Arial" w:cs="Arial"/>
          <w:lang w:val="sq-AL"/>
        </w:rPr>
        <w:t>- Përmirësimi i lëvizshmërisë dhe lidhjes së infrastrukturës së transportit dhe inxhinierisë me një sistem të lëvizshmërisë alternative, duke përfshirë shtigjet e lidhura të biçikletave, rrugët pyjore dhe rurale "të pista", heliportet etj.</w:t>
      </w:r>
    </w:p>
    <w:p w:rsidR="00FF2EC0" w:rsidRPr="001D50E3" w:rsidRDefault="00FF2EC0" w:rsidP="00754C28">
      <w:pPr>
        <w:spacing w:line="276" w:lineRule="auto"/>
        <w:jc w:val="both"/>
        <w:rPr>
          <w:rFonts w:ascii="Arial" w:hAnsi="Arial" w:cs="Arial"/>
          <w:lang w:val="sq-AL"/>
        </w:rPr>
      </w:pPr>
      <w:r w:rsidRPr="001D50E3">
        <w:rPr>
          <w:rFonts w:ascii="Arial" w:hAnsi="Arial" w:cs="Arial"/>
          <w:lang w:val="sq-AL"/>
        </w:rPr>
        <w:t>- Zhvillimi dhe tregtimi i produkteve të integruara turistike rajonale të përshtatshme për aktivitete të ndryshme nëpërmjet përfshirjes së trashëgimisë kulturore dhe historike dhe burimeve natyrore; përpjekjet e përbashkëta për diversifikimin e formave të shërbimeve turistike dhe realizimin e turizmit sezonal në rajonin e BNK;</w:t>
      </w:r>
    </w:p>
    <w:p w:rsidR="00FF2EC0" w:rsidRPr="001D50E3" w:rsidRDefault="00FF2EC0" w:rsidP="00754C28">
      <w:pPr>
        <w:spacing w:line="276" w:lineRule="auto"/>
        <w:jc w:val="both"/>
        <w:rPr>
          <w:rFonts w:ascii="Arial" w:hAnsi="Arial" w:cs="Arial"/>
          <w:lang w:val="sq-AL"/>
        </w:rPr>
      </w:pPr>
      <w:r w:rsidRPr="001D50E3">
        <w:rPr>
          <w:rFonts w:ascii="Arial" w:hAnsi="Arial" w:cs="Arial"/>
          <w:lang w:val="sq-AL"/>
        </w:rPr>
        <w:lastRenderedPageBreak/>
        <w:t>- Zhvillimi i paketave financiare të synuara të integruara për të mbështetur aktivitetin e biznesit dhe krijimin e sipërmarrjeve të reja të vogla dhe të mesme në turizëm me fokus në bizneset familjare dhe ofertën e produkteve turistike vendase: turizmi i verërave dhe gustatorit, eko-turizmi rural, turizmi me biçikleta, gjuetia dhe peshkim, turizëm fushor etj.;</w:t>
      </w:r>
    </w:p>
    <w:p w:rsidR="00FF2EC0" w:rsidRPr="001D50E3" w:rsidRDefault="00FF2EC0" w:rsidP="00754C28">
      <w:pPr>
        <w:spacing w:line="276" w:lineRule="auto"/>
        <w:jc w:val="both"/>
        <w:rPr>
          <w:rFonts w:ascii="Arial" w:hAnsi="Arial" w:cs="Arial"/>
          <w:lang w:val="sq-AL"/>
        </w:rPr>
      </w:pPr>
      <w:r w:rsidRPr="001D50E3">
        <w:rPr>
          <w:rFonts w:ascii="Arial" w:hAnsi="Arial" w:cs="Arial"/>
          <w:lang w:val="sq-AL"/>
        </w:rPr>
        <w:t>- Krijimi i një rrjeti të përbashkët vendndodhjesh për realizimin e koncepteve si "shkolla e gjelbër", "në vend", "vizita me ...", "bërë nga ...", etj.;</w:t>
      </w:r>
    </w:p>
    <w:p w:rsidR="00FF2EC0" w:rsidRPr="00754C28" w:rsidRDefault="00FF2EC0" w:rsidP="00754C28">
      <w:pPr>
        <w:spacing w:line="276" w:lineRule="auto"/>
        <w:jc w:val="both"/>
        <w:rPr>
          <w:rFonts w:ascii="Arial" w:hAnsi="Arial" w:cs="Arial"/>
          <w:lang w:val="mk-MK"/>
        </w:rPr>
      </w:pPr>
      <w:r w:rsidRPr="001D50E3">
        <w:rPr>
          <w:rFonts w:ascii="Arial" w:hAnsi="Arial" w:cs="Arial"/>
          <w:lang w:val="sq-AL"/>
        </w:rPr>
        <w:t>- Zhvillimi dhe zbatimi i masave të përbashkëta për uljen e cenueshmërisë së shërbimeve në sektorin e turizmit nga efektet e kushteve pandemike dhe epidemike; promovimi i zhvillimit të turizmit shëndetësor dhe rekreativ: produkte dhe shërbime që lidhen me ushtrimet fizike, sportet në natyrë, forcimin e sistemit imunitar dhe përmirësimin e shëndetit përmes procedurave spa, terapisë klimatike, terapisë me baltë; duke kombinuar pushime të shkurtra të llojeve të ndryshme me udhëtime individuale.</w:t>
      </w:r>
    </w:p>
    <w:p w:rsidR="00FF2EC0" w:rsidRPr="00754C28" w:rsidRDefault="00FF2EC0" w:rsidP="00754C28">
      <w:pPr>
        <w:spacing w:line="276" w:lineRule="auto"/>
        <w:jc w:val="both"/>
        <w:rPr>
          <w:rFonts w:ascii="Arial" w:hAnsi="Arial" w:cs="Arial"/>
          <w:lang w:val="mk-MK"/>
        </w:rPr>
      </w:pPr>
      <w:r w:rsidRPr="001D50E3">
        <w:rPr>
          <w:rFonts w:ascii="Arial" w:hAnsi="Arial" w:cs="Arial"/>
          <w:lang w:val="sq-AL"/>
        </w:rPr>
        <w:t>Duhet theksuar se zgjidhjet e gjelbra dhe ato dixhitale do të inkorporohen si parime horizontale dhe në këtë mënyrë do të bëhen pjesë integrale e të gjitha projekteve të mbështetura në kuadër të ITS. Ky vendim konsiderohet si një mjet programor për promovimin e politikës së re të kohezionit.</w:t>
      </w:r>
    </w:p>
    <w:p w:rsidR="00FF2EC0" w:rsidRPr="001D50E3" w:rsidRDefault="00FF2EC0" w:rsidP="00754C28">
      <w:pPr>
        <w:spacing w:line="276" w:lineRule="auto"/>
        <w:jc w:val="both"/>
        <w:rPr>
          <w:rFonts w:ascii="Arial" w:hAnsi="Arial" w:cs="Arial"/>
          <w:lang w:val="sq-AL"/>
        </w:rPr>
      </w:pPr>
      <w:r w:rsidRPr="001D50E3">
        <w:rPr>
          <w:rFonts w:ascii="Arial" w:hAnsi="Arial" w:cs="Arial"/>
          <w:lang w:val="sq-AL"/>
        </w:rPr>
        <w:t>ITS është një strategji shumë-sektoriale dhe zhvillon marrëdhënie të ndërsjella me EUSRD dhe EUSR në një sërë fushash ndërstrategjike si: kultura dhe turizmi, shoqëria e dijes, konkurrueshmëria, kapaciteti institucional dhe bashkëpunimi.</w:t>
      </w:r>
    </w:p>
    <w:p w:rsidR="00FF2EC0" w:rsidRPr="001D50E3" w:rsidRDefault="00FF2EC0" w:rsidP="00754C28">
      <w:pPr>
        <w:spacing w:line="276" w:lineRule="auto"/>
        <w:jc w:val="both"/>
        <w:rPr>
          <w:rFonts w:ascii="Arial" w:hAnsi="Arial" w:cs="Arial"/>
          <w:b/>
          <w:lang w:val="sq-AL"/>
        </w:rPr>
      </w:pPr>
      <w:r w:rsidRPr="001D50E3">
        <w:rPr>
          <w:rFonts w:ascii="Arial" w:hAnsi="Arial" w:cs="Arial"/>
          <w:b/>
          <w:lang w:val="sq-AL"/>
        </w:rPr>
        <w:t>2.3.3. Treguesit-Indikatoret</w:t>
      </w:r>
    </w:p>
    <w:p w:rsidR="00FF2EC0" w:rsidRPr="001D50E3" w:rsidRDefault="00FF2EC0" w:rsidP="00754C28">
      <w:pPr>
        <w:spacing w:line="276" w:lineRule="auto"/>
        <w:jc w:val="both"/>
        <w:rPr>
          <w:rFonts w:ascii="Arial" w:hAnsi="Arial" w:cs="Arial"/>
          <w:lang w:val="sq-AL"/>
        </w:rPr>
      </w:pPr>
      <w:r w:rsidRPr="001D50E3">
        <w:rPr>
          <w:rFonts w:ascii="Arial" w:hAnsi="Arial" w:cs="Arial"/>
          <w:lang w:val="sq-AL"/>
        </w:rPr>
        <w:t>Referenca: pika (e) (ii) e nenit 17 (3), neni pika (c) (iii) 17 (9)</w:t>
      </w:r>
    </w:p>
    <w:p w:rsidR="00FF2EC0" w:rsidRPr="001D50E3" w:rsidRDefault="00FF2EC0" w:rsidP="00754C28">
      <w:pPr>
        <w:spacing w:line="276" w:lineRule="auto"/>
        <w:jc w:val="both"/>
        <w:rPr>
          <w:rFonts w:ascii="Arial" w:hAnsi="Arial" w:cs="Arial"/>
          <w:lang w:val="sq-AL"/>
        </w:rPr>
      </w:pPr>
      <w:r w:rsidRPr="001D50E3">
        <w:rPr>
          <w:rFonts w:ascii="Arial" w:hAnsi="Arial" w:cs="Arial"/>
          <w:lang w:val="sq-AL"/>
        </w:rPr>
        <w:t xml:space="preserve">Tabela 2: Indikatoret dales </w:t>
      </w:r>
    </w:p>
    <w:tbl>
      <w:tblPr>
        <w:tblW w:w="6000" w:type="pct"/>
        <w:tblInd w:w="-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7"/>
        <w:gridCol w:w="2108"/>
        <w:gridCol w:w="2108"/>
        <w:gridCol w:w="1652"/>
        <w:gridCol w:w="1924"/>
        <w:gridCol w:w="1200"/>
        <w:gridCol w:w="942"/>
      </w:tblGrid>
      <w:tr w:rsidR="00FF2EC0" w:rsidRPr="001D50E3" w:rsidTr="00754C28">
        <w:trPr>
          <w:trHeight w:val="836"/>
        </w:trPr>
        <w:tc>
          <w:tcPr>
            <w:tcW w:w="677" w:type="pct"/>
            <w:tcBorders>
              <w:top w:val="single" w:sz="4" w:space="0" w:color="auto"/>
              <w:left w:val="single" w:sz="4" w:space="0" w:color="auto"/>
              <w:bottom w:val="single" w:sz="4" w:space="0" w:color="auto"/>
              <w:right w:val="single" w:sz="4" w:space="0" w:color="auto"/>
            </w:tcBorders>
            <w:hideMark/>
          </w:tcPr>
          <w:p w:rsidR="00FF2EC0" w:rsidRPr="001D50E3" w:rsidRDefault="00FF2EC0" w:rsidP="00754C28">
            <w:pPr>
              <w:spacing w:before="120" w:after="120" w:line="276" w:lineRule="auto"/>
              <w:jc w:val="both"/>
              <w:rPr>
                <w:rFonts w:ascii="Arial" w:eastAsia="Calibri" w:hAnsi="Arial" w:cs="Arial"/>
                <w:b/>
                <w:noProof/>
                <w:lang w:val="mk-MK"/>
              </w:rPr>
            </w:pPr>
            <w:r w:rsidRPr="001D50E3">
              <w:rPr>
                <w:rFonts w:ascii="Arial" w:eastAsia="Calibri" w:hAnsi="Arial" w:cs="Arial"/>
                <w:b/>
                <w:noProof/>
                <w:lang w:val="mk-MK"/>
              </w:rPr>
              <w:t>Приоритети</w:t>
            </w:r>
          </w:p>
        </w:tc>
        <w:tc>
          <w:tcPr>
            <w:tcW w:w="917" w:type="pct"/>
            <w:tcBorders>
              <w:top w:val="single" w:sz="4" w:space="0" w:color="auto"/>
              <w:left w:val="single" w:sz="4" w:space="0" w:color="auto"/>
              <w:bottom w:val="single" w:sz="4" w:space="0" w:color="auto"/>
              <w:right w:val="single" w:sz="4" w:space="0" w:color="auto"/>
            </w:tcBorders>
            <w:hideMark/>
          </w:tcPr>
          <w:p w:rsidR="00FF2EC0" w:rsidRPr="001D50E3" w:rsidRDefault="00FF2EC0" w:rsidP="00754C28">
            <w:pPr>
              <w:spacing w:before="120" w:after="120" w:line="276" w:lineRule="auto"/>
              <w:jc w:val="both"/>
              <w:rPr>
                <w:rFonts w:ascii="Arial" w:eastAsia="Calibri" w:hAnsi="Arial" w:cs="Arial"/>
                <w:b/>
                <w:noProof/>
                <w:lang w:val="sq-AL"/>
              </w:rPr>
            </w:pPr>
            <w:r w:rsidRPr="001D50E3">
              <w:rPr>
                <w:rFonts w:ascii="Arial" w:eastAsia="Times New Roman" w:hAnsi="Arial" w:cs="Arial"/>
                <w:b/>
                <w:iCs/>
                <w:noProof/>
                <w:lang w:val="sq-AL" w:eastAsia="en-GB"/>
              </w:rPr>
              <w:t>Qëllimi specifik</w:t>
            </w:r>
          </w:p>
        </w:tc>
        <w:tc>
          <w:tcPr>
            <w:tcW w:w="917" w:type="pct"/>
            <w:tcBorders>
              <w:top w:val="single" w:sz="4" w:space="0" w:color="auto"/>
              <w:left w:val="single" w:sz="4" w:space="0" w:color="auto"/>
              <w:bottom w:val="single" w:sz="4" w:space="0" w:color="auto"/>
              <w:right w:val="single" w:sz="4" w:space="0" w:color="auto"/>
            </w:tcBorders>
            <w:hideMark/>
          </w:tcPr>
          <w:p w:rsidR="00FF2EC0" w:rsidRPr="001D50E3" w:rsidRDefault="00FF2EC0" w:rsidP="00754C28">
            <w:pPr>
              <w:spacing w:before="120" w:after="120" w:line="276" w:lineRule="auto"/>
              <w:jc w:val="both"/>
              <w:rPr>
                <w:rFonts w:ascii="Arial" w:eastAsia="Calibri" w:hAnsi="Arial" w:cs="Arial"/>
                <w:b/>
                <w:noProof/>
                <w:lang w:val="sq-AL"/>
              </w:rPr>
            </w:pPr>
            <w:r w:rsidRPr="001D50E3">
              <w:rPr>
                <w:rFonts w:ascii="Arial" w:eastAsia="Calibri" w:hAnsi="Arial" w:cs="Arial"/>
                <w:b/>
                <w:noProof/>
                <w:lang w:val="sq-AL"/>
              </w:rPr>
              <w:t>Numer per identifikim</w:t>
            </w:r>
            <w:r w:rsidRPr="001D50E3">
              <w:rPr>
                <w:rFonts w:ascii="Arial" w:eastAsia="Calibri" w:hAnsi="Arial" w:cs="Arial"/>
                <w:b/>
                <w:noProof/>
                <w:lang w:val="mk-MK"/>
              </w:rPr>
              <w:t xml:space="preserve"> </w:t>
            </w:r>
          </w:p>
          <w:p w:rsidR="00FF2EC0" w:rsidRPr="001D50E3" w:rsidRDefault="00FF2EC0" w:rsidP="00754C28">
            <w:pPr>
              <w:spacing w:before="120" w:after="120" w:line="276" w:lineRule="auto"/>
              <w:jc w:val="both"/>
              <w:rPr>
                <w:rFonts w:ascii="Arial" w:eastAsia="Calibri" w:hAnsi="Arial" w:cs="Arial"/>
                <w:b/>
                <w:noProof/>
              </w:rPr>
            </w:pPr>
            <w:r w:rsidRPr="001D50E3">
              <w:rPr>
                <w:rFonts w:ascii="Arial" w:eastAsia="Calibri" w:hAnsi="Arial" w:cs="Arial"/>
                <w:b/>
                <w:noProof/>
              </w:rPr>
              <w:t>ID</w:t>
            </w:r>
          </w:p>
          <w:p w:rsidR="00FF2EC0" w:rsidRPr="001D50E3" w:rsidRDefault="00FF2EC0" w:rsidP="00754C28">
            <w:pPr>
              <w:spacing w:before="120" w:after="120" w:line="276" w:lineRule="auto"/>
              <w:jc w:val="both"/>
              <w:rPr>
                <w:rFonts w:ascii="Arial" w:eastAsia="Calibri" w:hAnsi="Arial" w:cs="Arial"/>
                <w:b/>
                <w:noProof/>
              </w:rPr>
            </w:pPr>
            <w:r w:rsidRPr="001D50E3">
              <w:rPr>
                <w:rFonts w:ascii="Arial" w:eastAsia="Calibri" w:hAnsi="Arial" w:cs="Arial"/>
                <w:b/>
                <w:noProof/>
              </w:rPr>
              <w:t>[5]</w:t>
            </w:r>
          </w:p>
        </w:tc>
        <w:tc>
          <w:tcPr>
            <w:tcW w:w="719" w:type="pct"/>
            <w:tcBorders>
              <w:top w:val="single" w:sz="4" w:space="0" w:color="auto"/>
              <w:left w:val="single" w:sz="4" w:space="0" w:color="auto"/>
              <w:bottom w:val="single" w:sz="4" w:space="0" w:color="auto"/>
              <w:right w:val="single" w:sz="4" w:space="0" w:color="auto"/>
            </w:tcBorders>
            <w:hideMark/>
          </w:tcPr>
          <w:p w:rsidR="00FF2EC0" w:rsidRPr="001D50E3" w:rsidRDefault="00FF2EC0" w:rsidP="00754C28">
            <w:pPr>
              <w:spacing w:before="120" w:after="120" w:line="276" w:lineRule="auto"/>
              <w:jc w:val="both"/>
              <w:rPr>
                <w:rFonts w:ascii="Arial" w:eastAsia="Calibri" w:hAnsi="Arial" w:cs="Arial"/>
                <w:b/>
                <w:noProof/>
                <w:lang w:val="sq-AL"/>
              </w:rPr>
            </w:pPr>
            <w:r w:rsidRPr="001D50E3">
              <w:rPr>
                <w:rFonts w:ascii="Arial" w:eastAsia="Calibri" w:hAnsi="Arial" w:cs="Arial"/>
                <w:b/>
                <w:noProof/>
                <w:lang w:val="sq-AL"/>
              </w:rPr>
              <w:t>Indikator</w:t>
            </w:r>
          </w:p>
        </w:tc>
        <w:tc>
          <w:tcPr>
            <w:tcW w:w="837" w:type="pct"/>
            <w:tcBorders>
              <w:top w:val="single" w:sz="4" w:space="0" w:color="auto"/>
              <w:left w:val="single" w:sz="4" w:space="0" w:color="auto"/>
              <w:bottom w:val="single" w:sz="4" w:space="0" w:color="auto"/>
              <w:right w:val="single" w:sz="4" w:space="0" w:color="auto"/>
            </w:tcBorders>
            <w:hideMark/>
          </w:tcPr>
          <w:p w:rsidR="00FF2EC0" w:rsidRPr="001D50E3" w:rsidRDefault="00FF2EC0" w:rsidP="00754C28">
            <w:pPr>
              <w:spacing w:before="120" w:after="120" w:line="276" w:lineRule="auto"/>
              <w:jc w:val="both"/>
              <w:rPr>
                <w:rFonts w:ascii="Arial" w:eastAsia="Calibri" w:hAnsi="Arial" w:cs="Arial"/>
                <w:b/>
                <w:noProof/>
                <w:lang w:val="sq-AL"/>
              </w:rPr>
            </w:pPr>
            <w:r w:rsidRPr="001D50E3">
              <w:rPr>
                <w:rFonts w:ascii="Arial" w:eastAsia="Calibri" w:hAnsi="Arial" w:cs="Arial"/>
                <w:b/>
                <w:noProof/>
                <w:lang w:val="sq-AL"/>
              </w:rPr>
              <w:t xml:space="preserve">Njesia matese </w:t>
            </w:r>
          </w:p>
          <w:p w:rsidR="00FF2EC0" w:rsidRPr="001D50E3" w:rsidRDefault="00FF2EC0" w:rsidP="00754C28">
            <w:pPr>
              <w:spacing w:before="120" w:after="120" w:line="276" w:lineRule="auto"/>
              <w:jc w:val="both"/>
              <w:rPr>
                <w:rFonts w:ascii="Arial" w:eastAsia="Calibri" w:hAnsi="Arial" w:cs="Arial"/>
                <w:b/>
                <w:noProof/>
                <w:lang w:val="mk-MK"/>
              </w:rPr>
            </w:pPr>
            <w:r w:rsidRPr="001D50E3">
              <w:rPr>
                <w:rFonts w:ascii="Arial" w:eastAsia="Calibri" w:hAnsi="Arial" w:cs="Arial"/>
                <w:b/>
                <w:noProof/>
                <w:lang w:val="mk-MK"/>
              </w:rPr>
              <w:t>Мерна единица</w:t>
            </w:r>
          </w:p>
          <w:p w:rsidR="00FF2EC0" w:rsidRPr="001D50E3" w:rsidRDefault="00FF2EC0" w:rsidP="00754C28">
            <w:pPr>
              <w:spacing w:before="120" w:after="120" w:line="276" w:lineRule="auto"/>
              <w:jc w:val="both"/>
              <w:rPr>
                <w:rFonts w:ascii="Arial" w:eastAsia="Calibri" w:hAnsi="Arial" w:cs="Arial"/>
                <w:b/>
                <w:noProof/>
              </w:rPr>
            </w:pPr>
            <w:r w:rsidRPr="001D50E3">
              <w:rPr>
                <w:rFonts w:ascii="Arial" w:eastAsia="Calibri" w:hAnsi="Arial" w:cs="Arial"/>
                <w:b/>
                <w:noProof/>
              </w:rPr>
              <w:t>[255]</w:t>
            </w:r>
          </w:p>
        </w:tc>
        <w:tc>
          <w:tcPr>
            <w:tcW w:w="522" w:type="pct"/>
            <w:tcBorders>
              <w:top w:val="single" w:sz="4" w:space="0" w:color="auto"/>
              <w:left w:val="single" w:sz="4" w:space="0" w:color="auto"/>
              <w:bottom w:val="single" w:sz="4" w:space="0" w:color="auto"/>
              <w:right w:val="single" w:sz="4" w:space="0" w:color="auto"/>
            </w:tcBorders>
            <w:hideMark/>
          </w:tcPr>
          <w:p w:rsidR="00FF2EC0" w:rsidRPr="001D50E3" w:rsidRDefault="00FF2EC0" w:rsidP="00754C28">
            <w:pPr>
              <w:spacing w:before="120" w:after="120" w:line="276" w:lineRule="auto"/>
              <w:jc w:val="both"/>
              <w:rPr>
                <w:rFonts w:ascii="Arial" w:eastAsia="Calibri" w:hAnsi="Arial" w:cs="Arial"/>
                <w:b/>
                <w:noProof/>
                <w:lang w:val="sq-AL"/>
              </w:rPr>
            </w:pPr>
            <w:r w:rsidRPr="001D50E3">
              <w:rPr>
                <w:rFonts w:ascii="Arial" w:eastAsia="Calibri" w:hAnsi="Arial" w:cs="Arial"/>
                <w:b/>
                <w:noProof/>
                <w:lang w:val="sq-AL"/>
              </w:rPr>
              <w:t>Objektivi final</w:t>
            </w:r>
          </w:p>
          <w:p w:rsidR="00FF2EC0" w:rsidRPr="001D50E3" w:rsidRDefault="00FF2EC0" w:rsidP="00754C28">
            <w:pPr>
              <w:spacing w:before="120" w:after="120" w:line="276" w:lineRule="auto"/>
              <w:jc w:val="both"/>
              <w:rPr>
                <w:rFonts w:ascii="Arial" w:eastAsia="Calibri" w:hAnsi="Arial" w:cs="Arial"/>
                <w:b/>
                <w:noProof/>
              </w:rPr>
            </w:pPr>
            <w:r w:rsidRPr="001D50E3">
              <w:rPr>
                <w:rFonts w:ascii="Arial" w:eastAsia="Calibri" w:hAnsi="Arial" w:cs="Arial"/>
                <w:b/>
                <w:noProof/>
              </w:rPr>
              <w:t>(2024)</w:t>
            </w:r>
          </w:p>
          <w:p w:rsidR="00FF2EC0" w:rsidRPr="001D50E3" w:rsidRDefault="00FF2EC0" w:rsidP="00754C28">
            <w:pPr>
              <w:spacing w:before="120" w:after="120" w:line="276" w:lineRule="auto"/>
              <w:jc w:val="both"/>
              <w:rPr>
                <w:rFonts w:ascii="Arial" w:eastAsia="Calibri" w:hAnsi="Arial" w:cs="Arial"/>
                <w:b/>
                <w:noProof/>
              </w:rPr>
            </w:pPr>
            <w:r w:rsidRPr="001D50E3">
              <w:rPr>
                <w:rFonts w:ascii="Arial" w:eastAsia="Calibri" w:hAnsi="Arial" w:cs="Arial"/>
                <w:b/>
                <w:noProof/>
              </w:rPr>
              <w:t>[200]</w:t>
            </w:r>
          </w:p>
        </w:tc>
        <w:tc>
          <w:tcPr>
            <w:tcW w:w="410" w:type="pct"/>
            <w:tcBorders>
              <w:top w:val="single" w:sz="4" w:space="0" w:color="auto"/>
              <w:left w:val="single" w:sz="4" w:space="0" w:color="auto"/>
              <w:bottom w:val="single" w:sz="4" w:space="0" w:color="auto"/>
              <w:right w:val="single" w:sz="4" w:space="0" w:color="auto"/>
            </w:tcBorders>
            <w:hideMark/>
          </w:tcPr>
          <w:p w:rsidR="00FF2EC0" w:rsidRPr="001D50E3" w:rsidRDefault="00FF2EC0" w:rsidP="00754C28">
            <w:pPr>
              <w:spacing w:before="120" w:after="120" w:line="276" w:lineRule="auto"/>
              <w:jc w:val="both"/>
              <w:rPr>
                <w:rFonts w:ascii="Arial" w:eastAsia="Calibri" w:hAnsi="Arial" w:cs="Arial"/>
                <w:b/>
                <w:noProof/>
              </w:rPr>
            </w:pPr>
            <w:r w:rsidRPr="001D50E3">
              <w:rPr>
                <w:rFonts w:ascii="Arial" w:eastAsia="Calibri" w:hAnsi="Arial" w:cs="Arial"/>
                <w:b/>
                <w:noProof/>
                <w:lang w:val="sq-AL"/>
              </w:rPr>
              <w:t>Fundi</w:t>
            </w:r>
            <w:r w:rsidRPr="001D50E3">
              <w:rPr>
                <w:rFonts w:ascii="Arial" w:eastAsia="Calibri" w:hAnsi="Arial" w:cs="Arial"/>
                <w:b/>
                <w:noProof/>
              </w:rPr>
              <w:t xml:space="preserve"> (2029)</w:t>
            </w:r>
          </w:p>
          <w:p w:rsidR="00FF2EC0" w:rsidRPr="001D50E3" w:rsidRDefault="00FF2EC0" w:rsidP="00754C28">
            <w:pPr>
              <w:spacing w:before="120" w:after="120" w:line="276" w:lineRule="auto"/>
              <w:jc w:val="both"/>
              <w:rPr>
                <w:rFonts w:ascii="Arial" w:eastAsia="Calibri" w:hAnsi="Arial" w:cs="Arial"/>
                <w:b/>
                <w:noProof/>
              </w:rPr>
            </w:pPr>
            <w:r w:rsidRPr="001D50E3">
              <w:rPr>
                <w:rFonts w:ascii="Arial" w:eastAsia="Calibri" w:hAnsi="Arial" w:cs="Arial"/>
                <w:b/>
                <w:noProof/>
              </w:rPr>
              <w:t>[200]</w:t>
            </w:r>
          </w:p>
        </w:tc>
      </w:tr>
      <w:tr w:rsidR="00FF2EC0" w:rsidRPr="001D50E3" w:rsidTr="00754C28">
        <w:trPr>
          <w:trHeight w:val="579"/>
        </w:trPr>
        <w:tc>
          <w:tcPr>
            <w:tcW w:w="677" w:type="pct"/>
            <w:tcBorders>
              <w:top w:val="single" w:sz="4" w:space="0" w:color="auto"/>
              <w:left w:val="single" w:sz="4" w:space="0" w:color="auto"/>
              <w:bottom w:val="single" w:sz="4" w:space="0" w:color="auto"/>
              <w:right w:val="single" w:sz="4" w:space="0" w:color="auto"/>
            </w:tcBorders>
            <w:hideMark/>
          </w:tcPr>
          <w:p w:rsidR="00FF2EC0" w:rsidRPr="001D50E3" w:rsidRDefault="00FF2EC0" w:rsidP="00754C28">
            <w:pPr>
              <w:spacing w:before="120" w:after="120" w:line="276" w:lineRule="auto"/>
              <w:jc w:val="both"/>
              <w:rPr>
                <w:rFonts w:ascii="Arial" w:eastAsia="Times New Roman" w:hAnsi="Arial" w:cs="Arial"/>
                <w:i/>
                <w:noProof/>
                <w:color w:val="000000"/>
                <w:lang w:val="mk-MK" w:eastAsia="en-GB"/>
              </w:rPr>
            </w:pPr>
            <w:r w:rsidRPr="001D50E3">
              <w:rPr>
                <w:rFonts w:ascii="Arial" w:eastAsia="Times New Roman" w:hAnsi="Arial" w:cs="Arial"/>
                <w:i/>
                <w:noProof/>
                <w:color w:val="000000"/>
                <w:lang w:val="mk-MK" w:eastAsia="en-GB"/>
              </w:rPr>
              <w:t xml:space="preserve">Zhvillimi i integruar </w:t>
            </w:r>
            <w:r w:rsidRPr="001D50E3">
              <w:rPr>
                <w:rFonts w:ascii="Arial" w:eastAsia="Times New Roman" w:hAnsi="Arial" w:cs="Arial"/>
                <w:i/>
                <w:noProof/>
                <w:color w:val="000000"/>
                <w:lang w:val="sq-AL" w:eastAsia="en-GB"/>
              </w:rPr>
              <w:t>per</w:t>
            </w:r>
            <w:r w:rsidRPr="001D50E3">
              <w:rPr>
                <w:rFonts w:ascii="Arial" w:eastAsia="Times New Roman" w:hAnsi="Arial" w:cs="Arial"/>
                <w:i/>
                <w:noProof/>
                <w:color w:val="000000"/>
                <w:lang w:val="mk-MK" w:eastAsia="en-GB"/>
              </w:rPr>
              <w:t xml:space="preserve"> rajoni</w:t>
            </w:r>
            <w:r w:rsidRPr="001D50E3">
              <w:rPr>
                <w:rFonts w:ascii="Arial" w:eastAsia="Times New Roman" w:hAnsi="Arial" w:cs="Arial"/>
                <w:i/>
                <w:noProof/>
                <w:color w:val="000000"/>
                <w:lang w:val="sq-AL" w:eastAsia="en-GB"/>
              </w:rPr>
              <w:t xml:space="preserve">n </w:t>
            </w:r>
            <w:r w:rsidRPr="001D50E3">
              <w:rPr>
                <w:rFonts w:ascii="Arial" w:eastAsia="Times New Roman" w:hAnsi="Arial" w:cs="Arial"/>
                <w:i/>
                <w:noProof/>
                <w:color w:val="000000"/>
                <w:lang w:val="mk-MK" w:eastAsia="en-GB"/>
              </w:rPr>
              <w:t>ndërkufitar</w:t>
            </w:r>
          </w:p>
        </w:tc>
        <w:tc>
          <w:tcPr>
            <w:tcW w:w="917" w:type="pct"/>
            <w:tcBorders>
              <w:top w:val="single" w:sz="4" w:space="0" w:color="auto"/>
              <w:left w:val="single" w:sz="4" w:space="0" w:color="auto"/>
              <w:bottom w:val="single" w:sz="4" w:space="0" w:color="auto"/>
              <w:right w:val="single" w:sz="4" w:space="0" w:color="auto"/>
            </w:tcBorders>
            <w:hideMark/>
          </w:tcPr>
          <w:p w:rsidR="00FF2EC0" w:rsidRPr="001D50E3" w:rsidRDefault="00FF2EC0" w:rsidP="00754C28">
            <w:pPr>
              <w:spacing w:before="120" w:after="120" w:line="276" w:lineRule="auto"/>
              <w:jc w:val="both"/>
              <w:rPr>
                <w:rFonts w:ascii="Arial" w:eastAsia="Times New Roman" w:hAnsi="Arial" w:cs="Arial"/>
                <w:i/>
                <w:noProof/>
                <w:color w:val="000000"/>
                <w:lang w:val="mk-MK" w:eastAsia="en-GB"/>
              </w:rPr>
            </w:pPr>
            <w:r w:rsidRPr="001D50E3">
              <w:rPr>
                <w:rFonts w:ascii="Arial" w:eastAsia="Times New Roman" w:hAnsi="Arial" w:cs="Arial"/>
                <w:i/>
                <w:noProof/>
                <w:color w:val="000000"/>
                <w:lang w:val="mk-MK" w:eastAsia="en-GB"/>
              </w:rPr>
              <w:t>SC (ii) Promovimi i zhvillimit të integruar social, ekonomik dhe mjedisor, trashëgimisë kulturore dhe sigurisë në zona të ndryshme nga zonat urbane.</w:t>
            </w:r>
          </w:p>
        </w:tc>
        <w:tc>
          <w:tcPr>
            <w:tcW w:w="917" w:type="pct"/>
            <w:tcBorders>
              <w:top w:val="single" w:sz="4" w:space="0" w:color="auto"/>
              <w:left w:val="single" w:sz="4" w:space="0" w:color="auto"/>
              <w:bottom w:val="single" w:sz="4" w:space="0" w:color="auto"/>
              <w:right w:val="single" w:sz="4" w:space="0" w:color="auto"/>
            </w:tcBorders>
            <w:hideMark/>
          </w:tcPr>
          <w:p w:rsidR="00FF2EC0" w:rsidRPr="001D50E3" w:rsidRDefault="00FF2EC0" w:rsidP="00754C28">
            <w:pPr>
              <w:spacing w:before="120" w:after="120" w:line="276" w:lineRule="auto"/>
              <w:jc w:val="both"/>
              <w:rPr>
                <w:rFonts w:ascii="Arial" w:eastAsia="Times New Roman" w:hAnsi="Arial" w:cs="Arial"/>
                <w:i/>
                <w:noProof/>
                <w:color w:val="000000"/>
                <w:lang w:eastAsia="en-GB"/>
              </w:rPr>
            </w:pPr>
            <w:r w:rsidRPr="001D50E3">
              <w:rPr>
                <w:rFonts w:ascii="Arial" w:eastAsia="Times New Roman" w:hAnsi="Arial" w:cs="Arial"/>
                <w:i/>
                <w:noProof/>
                <w:color w:val="000000"/>
                <w:lang w:eastAsia="en-GB"/>
              </w:rPr>
              <w:t>RCO87</w:t>
            </w:r>
          </w:p>
        </w:tc>
        <w:tc>
          <w:tcPr>
            <w:tcW w:w="719" w:type="pct"/>
            <w:tcBorders>
              <w:top w:val="single" w:sz="4" w:space="0" w:color="auto"/>
              <w:left w:val="single" w:sz="4" w:space="0" w:color="auto"/>
              <w:bottom w:val="single" w:sz="4" w:space="0" w:color="auto"/>
              <w:right w:val="single" w:sz="4" w:space="0" w:color="auto"/>
            </w:tcBorders>
          </w:tcPr>
          <w:p w:rsidR="00FF2EC0" w:rsidRPr="001D50E3" w:rsidRDefault="00FF2EC0" w:rsidP="00754C28">
            <w:pPr>
              <w:spacing w:before="120" w:after="120" w:line="276" w:lineRule="auto"/>
              <w:jc w:val="both"/>
              <w:rPr>
                <w:rFonts w:ascii="Arial" w:eastAsia="Times New Roman" w:hAnsi="Arial" w:cs="Arial"/>
                <w:i/>
                <w:noProof/>
                <w:color w:val="000000"/>
                <w:lang w:eastAsia="en-GB"/>
              </w:rPr>
            </w:pPr>
            <w:r w:rsidRPr="001D50E3">
              <w:rPr>
                <w:rFonts w:ascii="Arial" w:eastAsia="Times New Roman" w:hAnsi="Arial" w:cs="Arial"/>
                <w:i/>
                <w:noProof/>
                <w:color w:val="000000"/>
                <w:lang w:eastAsia="en-GB"/>
              </w:rPr>
              <w:t>Organizatat që punojnë përtej kufijve</w:t>
            </w:r>
          </w:p>
        </w:tc>
        <w:tc>
          <w:tcPr>
            <w:tcW w:w="837" w:type="pct"/>
            <w:tcBorders>
              <w:top w:val="single" w:sz="4" w:space="0" w:color="auto"/>
              <w:left w:val="single" w:sz="4" w:space="0" w:color="auto"/>
              <w:bottom w:val="single" w:sz="4" w:space="0" w:color="auto"/>
              <w:right w:val="single" w:sz="4" w:space="0" w:color="auto"/>
            </w:tcBorders>
            <w:hideMark/>
          </w:tcPr>
          <w:p w:rsidR="00FF2EC0" w:rsidRPr="001D50E3" w:rsidRDefault="00FF2EC0" w:rsidP="00754C28">
            <w:pPr>
              <w:spacing w:before="120" w:after="120" w:line="276" w:lineRule="auto"/>
              <w:jc w:val="both"/>
              <w:rPr>
                <w:rFonts w:ascii="Arial" w:eastAsia="Calibri" w:hAnsi="Arial" w:cs="Arial"/>
                <w:i/>
                <w:noProof/>
                <w:lang w:val="mk-MK"/>
              </w:rPr>
            </w:pPr>
            <w:r w:rsidRPr="001D50E3">
              <w:rPr>
                <w:rFonts w:ascii="Arial" w:eastAsia="Calibri" w:hAnsi="Arial" w:cs="Arial"/>
                <w:i/>
                <w:noProof/>
                <w:lang w:val="mk-MK"/>
              </w:rPr>
              <w:t>Organizatat</w:t>
            </w:r>
          </w:p>
        </w:tc>
        <w:tc>
          <w:tcPr>
            <w:tcW w:w="522" w:type="pct"/>
            <w:tcBorders>
              <w:top w:val="single" w:sz="4" w:space="0" w:color="auto"/>
              <w:left w:val="single" w:sz="4" w:space="0" w:color="auto"/>
              <w:bottom w:val="single" w:sz="4" w:space="0" w:color="auto"/>
              <w:right w:val="single" w:sz="4" w:space="0" w:color="auto"/>
            </w:tcBorders>
            <w:hideMark/>
          </w:tcPr>
          <w:p w:rsidR="00FF2EC0" w:rsidRPr="001D50E3" w:rsidRDefault="00FF2EC0" w:rsidP="00754C28">
            <w:pPr>
              <w:spacing w:before="120" w:after="120" w:line="276" w:lineRule="auto"/>
              <w:jc w:val="both"/>
              <w:rPr>
                <w:rFonts w:ascii="Arial" w:eastAsia="Calibri" w:hAnsi="Arial" w:cs="Arial"/>
                <w:b/>
                <w:i/>
                <w:noProof/>
              </w:rPr>
            </w:pPr>
            <w:r w:rsidRPr="001D50E3">
              <w:rPr>
                <w:rFonts w:ascii="Arial" w:eastAsia="Calibri" w:hAnsi="Arial" w:cs="Arial"/>
                <w:b/>
                <w:i/>
                <w:noProof/>
              </w:rPr>
              <w:t>14</w:t>
            </w:r>
          </w:p>
        </w:tc>
        <w:tc>
          <w:tcPr>
            <w:tcW w:w="410" w:type="pct"/>
            <w:tcBorders>
              <w:top w:val="single" w:sz="4" w:space="0" w:color="auto"/>
              <w:left w:val="single" w:sz="4" w:space="0" w:color="auto"/>
              <w:bottom w:val="single" w:sz="4" w:space="0" w:color="auto"/>
              <w:right w:val="single" w:sz="4" w:space="0" w:color="auto"/>
            </w:tcBorders>
            <w:hideMark/>
          </w:tcPr>
          <w:p w:rsidR="00FF2EC0" w:rsidRPr="001D50E3" w:rsidRDefault="00FF2EC0" w:rsidP="00754C28">
            <w:pPr>
              <w:spacing w:before="120" w:after="120" w:line="276" w:lineRule="auto"/>
              <w:jc w:val="both"/>
              <w:rPr>
                <w:rFonts w:ascii="Arial" w:eastAsia="Calibri" w:hAnsi="Arial" w:cs="Arial"/>
                <w:b/>
                <w:i/>
                <w:noProof/>
              </w:rPr>
            </w:pPr>
            <w:r w:rsidRPr="001D50E3">
              <w:rPr>
                <w:rFonts w:ascii="Arial" w:eastAsia="Calibri" w:hAnsi="Arial" w:cs="Arial"/>
                <w:b/>
                <w:i/>
                <w:noProof/>
              </w:rPr>
              <w:t>34</w:t>
            </w:r>
          </w:p>
        </w:tc>
      </w:tr>
      <w:tr w:rsidR="00FF2EC0" w:rsidRPr="001D50E3" w:rsidTr="00754C28">
        <w:trPr>
          <w:trHeight w:val="579"/>
        </w:trPr>
        <w:tc>
          <w:tcPr>
            <w:tcW w:w="677" w:type="pct"/>
            <w:tcBorders>
              <w:top w:val="single" w:sz="4" w:space="0" w:color="auto"/>
              <w:left w:val="single" w:sz="4" w:space="0" w:color="auto"/>
              <w:bottom w:val="single" w:sz="4" w:space="0" w:color="auto"/>
              <w:right w:val="single" w:sz="4" w:space="0" w:color="auto"/>
            </w:tcBorders>
            <w:hideMark/>
          </w:tcPr>
          <w:p w:rsidR="00FF2EC0" w:rsidRPr="001D50E3" w:rsidRDefault="00FF2EC0" w:rsidP="00754C28">
            <w:pPr>
              <w:spacing w:before="120" w:after="120" w:line="276" w:lineRule="auto"/>
              <w:jc w:val="both"/>
              <w:rPr>
                <w:rFonts w:ascii="Arial" w:eastAsia="Times New Roman" w:hAnsi="Arial" w:cs="Arial"/>
                <w:i/>
                <w:noProof/>
                <w:color w:val="000000"/>
                <w:lang w:val="mk-MK" w:eastAsia="en-GB"/>
              </w:rPr>
            </w:pPr>
            <w:r w:rsidRPr="001D50E3">
              <w:rPr>
                <w:rFonts w:ascii="Arial" w:eastAsia="Times New Roman" w:hAnsi="Arial" w:cs="Arial"/>
                <w:i/>
                <w:noProof/>
                <w:color w:val="000000"/>
                <w:lang w:val="mk-MK" w:eastAsia="en-GB"/>
              </w:rPr>
              <w:t xml:space="preserve">hvillimi i integruar i </w:t>
            </w:r>
            <w:r w:rsidRPr="001D50E3">
              <w:rPr>
                <w:rFonts w:ascii="Arial" w:eastAsia="Times New Roman" w:hAnsi="Arial" w:cs="Arial"/>
                <w:i/>
                <w:noProof/>
                <w:color w:val="000000"/>
                <w:lang w:val="mk-MK" w:eastAsia="en-GB"/>
              </w:rPr>
              <w:lastRenderedPageBreak/>
              <w:t>rajonit ndërkufitar</w:t>
            </w:r>
          </w:p>
        </w:tc>
        <w:tc>
          <w:tcPr>
            <w:tcW w:w="917" w:type="pct"/>
            <w:tcBorders>
              <w:top w:val="single" w:sz="4" w:space="0" w:color="auto"/>
              <w:left w:val="single" w:sz="4" w:space="0" w:color="auto"/>
              <w:bottom w:val="single" w:sz="4" w:space="0" w:color="auto"/>
              <w:right w:val="single" w:sz="4" w:space="0" w:color="auto"/>
            </w:tcBorders>
            <w:hideMark/>
          </w:tcPr>
          <w:p w:rsidR="00FF2EC0" w:rsidRPr="001D50E3" w:rsidRDefault="00FF2EC0" w:rsidP="00754C28">
            <w:pPr>
              <w:spacing w:before="120" w:after="120" w:line="276" w:lineRule="auto"/>
              <w:jc w:val="both"/>
              <w:rPr>
                <w:rFonts w:ascii="Arial" w:eastAsia="Times New Roman" w:hAnsi="Arial" w:cs="Arial"/>
                <w:i/>
                <w:noProof/>
                <w:color w:val="000000"/>
                <w:lang w:eastAsia="en-GB"/>
              </w:rPr>
            </w:pPr>
            <w:r w:rsidRPr="001D50E3">
              <w:rPr>
                <w:rFonts w:ascii="Arial" w:eastAsia="Times New Roman" w:hAnsi="Arial" w:cs="Arial"/>
                <w:i/>
                <w:noProof/>
                <w:color w:val="000000"/>
                <w:lang w:eastAsia="en-GB"/>
              </w:rPr>
              <w:lastRenderedPageBreak/>
              <w:t xml:space="preserve">SC (ii) Promovimi i zhvillimit të </w:t>
            </w:r>
            <w:r w:rsidRPr="001D50E3">
              <w:rPr>
                <w:rFonts w:ascii="Arial" w:eastAsia="Times New Roman" w:hAnsi="Arial" w:cs="Arial"/>
                <w:i/>
                <w:noProof/>
                <w:color w:val="000000"/>
                <w:lang w:eastAsia="en-GB"/>
              </w:rPr>
              <w:lastRenderedPageBreak/>
              <w:t>integruar social, ekonomik dhe mjedisor, trashëgimisë kulturore dhe sigurisë në zona të ndryshme nga ato urbane</w:t>
            </w:r>
          </w:p>
        </w:tc>
        <w:tc>
          <w:tcPr>
            <w:tcW w:w="917" w:type="pct"/>
            <w:tcBorders>
              <w:top w:val="single" w:sz="4" w:space="0" w:color="auto"/>
              <w:left w:val="single" w:sz="4" w:space="0" w:color="auto"/>
              <w:bottom w:val="single" w:sz="4" w:space="0" w:color="auto"/>
              <w:right w:val="single" w:sz="4" w:space="0" w:color="auto"/>
            </w:tcBorders>
            <w:hideMark/>
          </w:tcPr>
          <w:p w:rsidR="00FF2EC0" w:rsidRPr="001D50E3" w:rsidRDefault="00FF2EC0" w:rsidP="00754C28">
            <w:pPr>
              <w:spacing w:before="120" w:after="120" w:line="276" w:lineRule="auto"/>
              <w:jc w:val="both"/>
              <w:rPr>
                <w:rFonts w:ascii="Arial" w:eastAsia="Times New Roman" w:hAnsi="Arial" w:cs="Arial"/>
                <w:i/>
                <w:noProof/>
                <w:color w:val="000000"/>
                <w:lang w:eastAsia="en-GB"/>
              </w:rPr>
            </w:pPr>
            <w:r w:rsidRPr="001D50E3">
              <w:rPr>
                <w:rFonts w:ascii="Arial" w:eastAsia="Times New Roman" w:hAnsi="Arial" w:cs="Arial"/>
                <w:i/>
                <w:noProof/>
                <w:color w:val="000000"/>
                <w:lang w:eastAsia="en-GB"/>
              </w:rPr>
              <w:lastRenderedPageBreak/>
              <w:t>RCO116</w:t>
            </w:r>
          </w:p>
        </w:tc>
        <w:tc>
          <w:tcPr>
            <w:tcW w:w="719" w:type="pct"/>
            <w:tcBorders>
              <w:top w:val="single" w:sz="4" w:space="0" w:color="auto"/>
              <w:left w:val="single" w:sz="4" w:space="0" w:color="auto"/>
              <w:bottom w:val="single" w:sz="4" w:space="0" w:color="auto"/>
              <w:right w:val="single" w:sz="4" w:space="0" w:color="auto"/>
            </w:tcBorders>
          </w:tcPr>
          <w:p w:rsidR="00FF2EC0" w:rsidRPr="001D50E3" w:rsidRDefault="00FF2EC0" w:rsidP="00754C28">
            <w:pPr>
              <w:spacing w:before="120" w:after="120" w:line="276" w:lineRule="auto"/>
              <w:jc w:val="both"/>
              <w:rPr>
                <w:rFonts w:ascii="Arial" w:eastAsia="Times New Roman" w:hAnsi="Arial" w:cs="Arial"/>
                <w:i/>
                <w:noProof/>
                <w:color w:val="000000"/>
                <w:lang w:val="sq-AL" w:eastAsia="en-GB"/>
              </w:rPr>
            </w:pPr>
            <w:r w:rsidRPr="001D50E3">
              <w:rPr>
                <w:rFonts w:ascii="Arial" w:eastAsia="Times New Roman" w:hAnsi="Arial" w:cs="Arial"/>
                <w:i/>
                <w:noProof/>
                <w:color w:val="000000"/>
                <w:lang w:val="sq-AL" w:eastAsia="en-GB"/>
              </w:rPr>
              <w:t xml:space="preserve">Zgjidhje të zhvilluara së </w:t>
            </w:r>
            <w:r w:rsidRPr="001D50E3">
              <w:rPr>
                <w:rFonts w:ascii="Arial" w:eastAsia="Times New Roman" w:hAnsi="Arial" w:cs="Arial"/>
                <w:i/>
                <w:noProof/>
                <w:color w:val="000000"/>
                <w:lang w:val="sq-AL" w:eastAsia="en-GB"/>
              </w:rPr>
              <w:lastRenderedPageBreak/>
              <w:t>perbashketa</w:t>
            </w:r>
          </w:p>
          <w:p w:rsidR="00FF2EC0" w:rsidRPr="001D50E3" w:rsidRDefault="00FF2EC0" w:rsidP="00754C28">
            <w:pPr>
              <w:spacing w:before="120" w:after="120" w:line="276" w:lineRule="auto"/>
              <w:jc w:val="both"/>
              <w:rPr>
                <w:rFonts w:ascii="Arial" w:eastAsia="Times New Roman" w:hAnsi="Arial" w:cs="Arial"/>
                <w:i/>
                <w:noProof/>
                <w:color w:val="000000"/>
                <w:lang w:val="sq-AL" w:eastAsia="en-GB"/>
              </w:rPr>
            </w:pPr>
          </w:p>
          <w:p w:rsidR="00FF2EC0" w:rsidRPr="001D50E3" w:rsidRDefault="00FF2EC0" w:rsidP="00754C28">
            <w:pPr>
              <w:spacing w:before="120" w:after="120" w:line="276" w:lineRule="auto"/>
              <w:jc w:val="both"/>
              <w:rPr>
                <w:rFonts w:ascii="Arial" w:eastAsia="Times New Roman" w:hAnsi="Arial" w:cs="Arial"/>
                <w:i/>
                <w:noProof/>
                <w:color w:val="000000"/>
                <w:lang w:val="sq-AL" w:eastAsia="en-GB"/>
              </w:rPr>
            </w:pPr>
          </w:p>
          <w:p w:rsidR="00FF2EC0" w:rsidRPr="001D50E3" w:rsidRDefault="00FF2EC0" w:rsidP="00754C28">
            <w:pPr>
              <w:spacing w:before="120" w:after="120" w:line="276" w:lineRule="auto"/>
              <w:jc w:val="both"/>
              <w:rPr>
                <w:rFonts w:ascii="Arial" w:eastAsia="Times New Roman" w:hAnsi="Arial" w:cs="Arial"/>
                <w:i/>
                <w:noProof/>
                <w:color w:val="000000"/>
                <w:lang w:eastAsia="en-GB"/>
              </w:rPr>
            </w:pPr>
          </w:p>
        </w:tc>
        <w:tc>
          <w:tcPr>
            <w:tcW w:w="837" w:type="pct"/>
            <w:tcBorders>
              <w:top w:val="single" w:sz="4" w:space="0" w:color="auto"/>
              <w:left w:val="single" w:sz="4" w:space="0" w:color="auto"/>
              <w:bottom w:val="single" w:sz="4" w:space="0" w:color="auto"/>
              <w:right w:val="single" w:sz="4" w:space="0" w:color="auto"/>
            </w:tcBorders>
            <w:hideMark/>
          </w:tcPr>
          <w:p w:rsidR="00FF2EC0" w:rsidRPr="001D50E3" w:rsidRDefault="00FF2EC0" w:rsidP="00754C28">
            <w:pPr>
              <w:spacing w:before="120" w:after="120" w:line="276" w:lineRule="auto"/>
              <w:jc w:val="both"/>
              <w:rPr>
                <w:rFonts w:ascii="Arial" w:eastAsia="Calibri" w:hAnsi="Arial" w:cs="Arial"/>
                <w:i/>
                <w:noProof/>
                <w:lang w:val="sq-AL"/>
              </w:rPr>
            </w:pPr>
            <w:r w:rsidRPr="001D50E3">
              <w:rPr>
                <w:rFonts w:ascii="Arial" w:eastAsia="Calibri" w:hAnsi="Arial" w:cs="Arial"/>
                <w:i/>
                <w:noProof/>
                <w:lang w:val="sq-AL"/>
              </w:rPr>
              <w:lastRenderedPageBreak/>
              <w:t xml:space="preserve">Zgjidhje </w:t>
            </w:r>
          </w:p>
        </w:tc>
        <w:tc>
          <w:tcPr>
            <w:tcW w:w="522" w:type="pct"/>
            <w:tcBorders>
              <w:top w:val="single" w:sz="4" w:space="0" w:color="auto"/>
              <w:left w:val="single" w:sz="4" w:space="0" w:color="auto"/>
              <w:bottom w:val="single" w:sz="4" w:space="0" w:color="auto"/>
              <w:right w:val="single" w:sz="4" w:space="0" w:color="auto"/>
            </w:tcBorders>
            <w:hideMark/>
          </w:tcPr>
          <w:p w:rsidR="00FF2EC0" w:rsidRPr="001D50E3" w:rsidRDefault="00FF2EC0" w:rsidP="00754C28">
            <w:pPr>
              <w:spacing w:before="120" w:after="120" w:line="276" w:lineRule="auto"/>
              <w:jc w:val="both"/>
              <w:rPr>
                <w:rFonts w:ascii="Arial" w:eastAsia="Calibri" w:hAnsi="Arial" w:cs="Arial"/>
                <w:b/>
                <w:i/>
                <w:noProof/>
              </w:rPr>
            </w:pPr>
            <w:r w:rsidRPr="001D50E3">
              <w:rPr>
                <w:rFonts w:ascii="Arial" w:eastAsia="Calibri" w:hAnsi="Arial" w:cs="Arial"/>
                <w:b/>
                <w:i/>
                <w:noProof/>
              </w:rPr>
              <w:t>6</w:t>
            </w:r>
          </w:p>
        </w:tc>
        <w:tc>
          <w:tcPr>
            <w:tcW w:w="410" w:type="pct"/>
            <w:tcBorders>
              <w:top w:val="single" w:sz="4" w:space="0" w:color="auto"/>
              <w:left w:val="single" w:sz="4" w:space="0" w:color="auto"/>
              <w:bottom w:val="single" w:sz="4" w:space="0" w:color="auto"/>
              <w:right w:val="single" w:sz="4" w:space="0" w:color="auto"/>
            </w:tcBorders>
            <w:hideMark/>
          </w:tcPr>
          <w:p w:rsidR="00FF2EC0" w:rsidRPr="001D50E3" w:rsidRDefault="00FF2EC0" w:rsidP="00754C28">
            <w:pPr>
              <w:spacing w:before="120" w:after="120" w:line="276" w:lineRule="auto"/>
              <w:jc w:val="both"/>
              <w:rPr>
                <w:rFonts w:ascii="Arial" w:eastAsia="Calibri" w:hAnsi="Arial" w:cs="Arial"/>
                <w:b/>
                <w:i/>
                <w:noProof/>
              </w:rPr>
            </w:pPr>
            <w:r w:rsidRPr="001D50E3">
              <w:rPr>
                <w:rFonts w:ascii="Arial" w:eastAsia="Calibri" w:hAnsi="Arial" w:cs="Arial"/>
                <w:b/>
                <w:i/>
                <w:noProof/>
              </w:rPr>
              <w:t>15</w:t>
            </w:r>
          </w:p>
        </w:tc>
      </w:tr>
    </w:tbl>
    <w:p w:rsidR="00FF2EC0" w:rsidRPr="001D50E3" w:rsidRDefault="00FF2EC0" w:rsidP="00754C28">
      <w:pPr>
        <w:spacing w:before="240" w:after="240" w:line="276" w:lineRule="auto"/>
        <w:jc w:val="both"/>
        <w:rPr>
          <w:rFonts w:ascii="Arial" w:eastAsia="Times New Roman" w:hAnsi="Arial" w:cs="Arial"/>
          <w:iCs/>
          <w:noProof/>
          <w:lang w:eastAsia="en-GB"/>
        </w:rPr>
      </w:pPr>
    </w:p>
    <w:p w:rsidR="00FF2EC0" w:rsidRPr="001D50E3" w:rsidRDefault="00754C28" w:rsidP="00FF2EC0">
      <w:pPr>
        <w:spacing w:before="240" w:after="240" w:line="240" w:lineRule="auto"/>
        <w:jc w:val="both"/>
        <w:rPr>
          <w:rFonts w:ascii="Arial" w:eastAsia="Times New Roman" w:hAnsi="Arial" w:cs="Arial"/>
          <w:iCs/>
          <w:noProof/>
          <w:lang w:val="mk-MK" w:eastAsia="en-GB"/>
        </w:rPr>
      </w:pPr>
      <w:r>
        <w:rPr>
          <w:rFonts w:ascii="Arial" w:eastAsia="Times New Roman" w:hAnsi="Arial" w:cs="Arial"/>
          <w:iCs/>
          <w:noProof/>
          <w:lang w:val="mk-MK" w:eastAsia="en-GB"/>
        </w:rPr>
        <w:t>Та</w:t>
      </w:r>
      <w:r>
        <w:rPr>
          <w:rFonts w:ascii="Arial" w:eastAsia="Times New Roman" w:hAnsi="Arial" w:cs="Arial"/>
          <w:iCs/>
          <w:noProof/>
          <w:lang w:eastAsia="en-GB"/>
        </w:rPr>
        <w:t>bela</w:t>
      </w:r>
      <w:r w:rsidR="00FF2EC0" w:rsidRPr="001D50E3">
        <w:rPr>
          <w:rFonts w:ascii="Arial" w:eastAsia="Times New Roman" w:hAnsi="Arial" w:cs="Arial"/>
          <w:iCs/>
          <w:noProof/>
          <w:lang w:eastAsia="en-GB"/>
        </w:rPr>
        <w:t xml:space="preserve"> 3: </w:t>
      </w:r>
      <w:r w:rsidRPr="00754C28">
        <w:rPr>
          <w:rFonts w:ascii="Arial" w:eastAsia="Times New Roman" w:hAnsi="Arial" w:cs="Arial"/>
          <w:iCs/>
          <w:noProof/>
          <w:lang w:eastAsia="en-GB"/>
        </w:rPr>
        <w:t>Treguesit e rezultateve</w:t>
      </w:r>
    </w:p>
    <w:tbl>
      <w:tblPr>
        <w:tblW w:w="6100" w:type="pct"/>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4"/>
        <w:gridCol w:w="117"/>
        <w:gridCol w:w="1370"/>
        <w:gridCol w:w="196"/>
        <w:gridCol w:w="1256"/>
        <w:gridCol w:w="40"/>
        <w:gridCol w:w="1305"/>
        <w:gridCol w:w="987"/>
        <w:gridCol w:w="82"/>
        <w:gridCol w:w="413"/>
        <w:gridCol w:w="480"/>
        <w:gridCol w:w="574"/>
        <w:gridCol w:w="58"/>
        <w:gridCol w:w="882"/>
        <w:gridCol w:w="277"/>
        <w:gridCol w:w="1109"/>
        <w:gridCol w:w="188"/>
        <w:gridCol w:w="1055"/>
      </w:tblGrid>
      <w:tr w:rsidR="00FF2EC0" w:rsidRPr="001D50E3" w:rsidTr="00754C28">
        <w:trPr>
          <w:trHeight w:val="947"/>
        </w:trPr>
        <w:tc>
          <w:tcPr>
            <w:tcW w:w="564" w:type="pct"/>
            <w:tcBorders>
              <w:top w:val="single" w:sz="4" w:space="0" w:color="auto"/>
              <w:left w:val="single" w:sz="4" w:space="0" w:color="auto"/>
              <w:bottom w:val="single" w:sz="4" w:space="0" w:color="auto"/>
              <w:right w:val="single" w:sz="4" w:space="0" w:color="auto"/>
            </w:tcBorders>
            <w:hideMark/>
          </w:tcPr>
          <w:p w:rsidR="00FF2EC0" w:rsidRPr="001D50E3" w:rsidRDefault="00FF2EC0" w:rsidP="00754C28">
            <w:pPr>
              <w:spacing w:before="120" w:after="120" w:line="276" w:lineRule="auto"/>
              <w:jc w:val="both"/>
              <w:rPr>
                <w:rFonts w:ascii="Arial" w:eastAsia="Calibri" w:hAnsi="Arial" w:cs="Arial"/>
                <w:b/>
                <w:noProof/>
              </w:rPr>
            </w:pPr>
            <w:r w:rsidRPr="001D50E3">
              <w:rPr>
                <w:rFonts w:ascii="Arial" w:eastAsia="Calibri" w:hAnsi="Arial" w:cs="Arial"/>
                <w:b/>
                <w:noProof/>
                <w:lang w:val="sq-AL"/>
              </w:rPr>
              <w:t>Prioritet</w:t>
            </w:r>
            <w:r w:rsidRPr="001D50E3">
              <w:rPr>
                <w:rFonts w:ascii="Arial" w:eastAsia="Calibri" w:hAnsi="Arial" w:cs="Arial"/>
                <w:b/>
                <w:noProof/>
                <w:lang w:val="mk-MK"/>
              </w:rPr>
              <w:t xml:space="preserve"> </w:t>
            </w:r>
          </w:p>
        </w:tc>
        <w:tc>
          <w:tcPr>
            <w:tcW w:w="654" w:type="pct"/>
            <w:gridSpan w:val="2"/>
            <w:tcBorders>
              <w:top w:val="single" w:sz="4" w:space="0" w:color="auto"/>
              <w:left w:val="single" w:sz="4" w:space="0" w:color="auto"/>
              <w:bottom w:val="single" w:sz="4" w:space="0" w:color="auto"/>
              <w:right w:val="single" w:sz="4" w:space="0" w:color="auto"/>
            </w:tcBorders>
            <w:hideMark/>
          </w:tcPr>
          <w:p w:rsidR="00FF2EC0" w:rsidRPr="001D50E3" w:rsidRDefault="00FF2EC0" w:rsidP="00754C28">
            <w:pPr>
              <w:spacing w:before="120" w:after="120" w:line="276" w:lineRule="auto"/>
              <w:jc w:val="both"/>
              <w:rPr>
                <w:rFonts w:ascii="Arial" w:eastAsia="Calibri" w:hAnsi="Arial" w:cs="Arial"/>
                <w:b/>
                <w:noProof/>
                <w:lang w:val="mk-MK"/>
              </w:rPr>
            </w:pPr>
            <w:r w:rsidRPr="001D50E3">
              <w:rPr>
                <w:rFonts w:ascii="Arial" w:eastAsia="Calibri" w:hAnsi="Arial" w:cs="Arial"/>
                <w:b/>
                <w:noProof/>
                <w:lang w:val="mk-MK"/>
              </w:rPr>
              <w:t>Objektivi specifik</w:t>
            </w:r>
          </w:p>
        </w:tc>
        <w:tc>
          <w:tcPr>
            <w:tcW w:w="573" w:type="pct"/>
            <w:gridSpan w:val="2"/>
            <w:tcBorders>
              <w:top w:val="single" w:sz="4" w:space="0" w:color="auto"/>
              <w:left w:val="single" w:sz="4" w:space="0" w:color="auto"/>
              <w:bottom w:val="single" w:sz="4" w:space="0" w:color="auto"/>
              <w:right w:val="single" w:sz="4" w:space="0" w:color="auto"/>
            </w:tcBorders>
            <w:hideMark/>
          </w:tcPr>
          <w:p w:rsidR="00FF2EC0" w:rsidRPr="001D50E3" w:rsidRDefault="00FF2EC0" w:rsidP="00754C28">
            <w:pPr>
              <w:spacing w:before="120" w:after="120" w:line="276" w:lineRule="auto"/>
              <w:jc w:val="both"/>
              <w:rPr>
                <w:rFonts w:ascii="Arial" w:eastAsia="Calibri" w:hAnsi="Arial" w:cs="Arial"/>
                <w:b/>
                <w:noProof/>
              </w:rPr>
            </w:pPr>
            <w:r w:rsidRPr="001D50E3">
              <w:rPr>
                <w:rFonts w:ascii="Arial" w:eastAsia="Calibri" w:hAnsi="Arial" w:cs="Arial"/>
                <w:b/>
                <w:noProof/>
              </w:rPr>
              <w:t>Numrin e identifikimit ID</w:t>
            </w:r>
          </w:p>
        </w:tc>
        <w:tc>
          <w:tcPr>
            <w:tcW w:w="586" w:type="pct"/>
            <w:gridSpan w:val="2"/>
            <w:tcBorders>
              <w:top w:val="single" w:sz="4" w:space="0" w:color="auto"/>
              <w:left w:val="single" w:sz="4" w:space="0" w:color="auto"/>
              <w:bottom w:val="single" w:sz="4" w:space="0" w:color="auto"/>
              <w:right w:val="single" w:sz="4" w:space="0" w:color="auto"/>
            </w:tcBorders>
            <w:hideMark/>
          </w:tcPr>
          <w:p w:rsidR="00FF2EC0" w:rsidRPr="001D50E3" w:rsidRDefault="00FF2EC0" w:rsidP="00754C28">
            <w:pPr>
              <w:spacing w:before="120" w:after="120" w:line="276" w:lineRule="auto"/>
              <w:jc w:val="both"/>
              <w:rPr>
                <w:rFonts w:ascii="Arial" w:eastAsia="Calibri" w:hAnsi="Arial" w:cs="Arial"/>
                <w:b/>
                <w:noProof/>
                <w:lang w:val="sq-AL"/>
              </w:rPr>
            </w:pPr>
            <w:r w:rsidRPr="001D50E3">
              <w:rPr>
                <w:rFonts w:ascii="Arial" w:eastAsia="Calibri" w:hAnsi="Arial" w:cs="Arial"/>
                <w:b/>
                <w:noProof/>
                <w:lang w:val="sq-AL"/>
              </w:rPr>
              <w:t>Indikator</w:t>
            </w:r>
          </w:p>
        </w:tc>
        <w:tc>
          <w:tcPr>
            <w:tcW w:w="474" w:type="pct"/>
            <w:gridSpan w:val="2"/>
            <w:tcBorders>
              <w:top w:val="single" w:sz="4" w:space="0" w:color="auto"/>
              <w:left w:val="single" w:sz="4" w:space="0" w:color="auto"/>
              <w:bottom w:val="single" w:sz="4" w:space="0" w:color="auto"/>
              <w:right w:val="single" w:sz="4" w:space="0" w:color="auto"/>
            </w:tcBorders>
            <w:hideMark/>
          </w:tcPr>
          <w:p w:rsidR="00FF2EC0" w:rsidRPr="001D50E3" w:rsidRDefault="00FF2EC0" w:rsidP="00754C28">
            <w:pPr>
              <w:spacing w:before="120" w:after="120" w:line="276" w:lineRule="auto"/>
              <w:jc w:val="both"/>
              <w:rPr>
                <w:rFonts w:ascii="Arial" w:eastAsia="Calibri" w:hAnsi="Arial" w:cs="Arial"/>
                <w:b/>
                <w:noProof/>
                <w:lang w:val="sq-AL"/>
              </w:rPr>
            </w:pPr>
            <w:r w:rsidRPr="001D50E3">
              <w:rPr>
                <w:rFonts w:ascii="Arial" w:eastAsia="Calibri" w:hAnsi="Arial" w:cs="Arial"/>
                <w:b/>
                <w:noProof/>
                <w:lang w:val="mk-MK"/>
              </w:rPr>
              <w:t>Njësia</w:t>
            </w:r>
            <w:r w:rsidRPr="001D50E3">
              <w:rPr>
                <w:rFonts w:ascii="Arial" w:eastAsia="Calibri" w:hAnsi="Arial" w:cs="Arial"/>
                <w:b/>
                <w:noProof/>
                <w:lang w:val="sq-AL"/>
              </w:rPr>
              <w:t xml:space="preserve"> matese</w:t>
            </w:r>
          </w:p>
        </w:tc>
        <w:tc>
          <w:tcPr>
            <w:tcW w:w="401" w:type="pct"/>
            <w:gridSpan w:val="2"/>
            <w:tcBorders>
              <w:top w:val="single" w:sz="4" w:space="0" w:color="auto"/>
              <w:left w:val="single" w:sz="4" w:space="0" w:color="auto"/>
              <w:bottom w:val="single" w:sz="4" w:space="0" w:color="auto"/>
              <w:right w:val="single" w:sz="4" w:space="0" w:color="auto"/>
            </w:tcBorders>
            <w:hideMark/>
          </w:tcPr>
          <w:p w:rsidR="00FF2EC0" w:rsidRPr="001D50E3" w:rsidRDefault="00FF2EC0" w:rsidP="00754C28">
            <w:pPr>
              <w:spacing w:before="120" w:after="120" w:line="276" w:lineRule="auto"/>
              <w:jc w:val="both"/>
              <w:rPr>
                <w:rFonts w:ascii="Arial" w:eastAsia="Calibri" w:hAnsi="Arial" w:cs="Arial"/>
                <w:b/>
                <w:noProof/>
                <w:lang w:val="sq-AL"/>
              </w:rPr>
            </w:pPr>
            <w:r w:rsidRPr="001D50E3">
              <w:rPr>
                <w:rFonts w:ascii="Arial" w:eastAsia="Calibri" w:hAnsi="Arial" w:cs="Arial"/>
                <w:b/>
                <w:noProof/>
                <w:lang w:val="sq-AL"/>
              </w:rPr>
              <w:t>Baza</w:t>
            </w:r>
          </w:p>
        </w:tc>
        <w:tc>
          <w:tcPr>
            <w:tcW w:w="258" w:type="pct"/>
            <w:gridSpan w:val="2"/>
            <w:tcBorders>
              <w:top w:val="single" w:sz="4" w:space="0" w:color="auto"/>
              <w:left w:val="single" w:sz="4" w:space="0" w:color="auto"/>
              <w:bottom w:val="single" w:sz="4" w:space="0" w:color="auto"/>
              <w:right w:val="single" w:sz="4" w:space="0" w:color="auto"/>
            </w:tcBorders>
            <w:hideMark/>
          </w:tcPr>
          <w:p w:rsidR="00FF2EC0" w:rsidRPr="001D50E3" w:rsidRDefault="00FF2EC0" w:rsidP="00754C28">
            <w:pPr>
              <w:spacing w:before="120" w:after="120" w:line="276" w:lineRule="auto"/>
              <w:jc w:val="both"/>
              <w:rPr>
                <w:rFonts w:ascii="Arial" w:eastAsia="Calibri" w:hAnsi="Arial" w:cs="Arial"/>
                <w:b/>
                <w:noProof/>
                <w:lang w:val="mk-MK"/>
              </w:rPr>
            </w:pPr>
            <w:r w:rsidRPr="001D50E3">
              <w:rPr>
                <w:rFonts w:ascii="Arial" w:eastAsia="Calibri" w:hAnsi="Arial" w:cs="Arial"/>
                <w:b/>
                <w:noProof/>
                <w:lang w:val="mk-MK"/>
              </w:rPr>
              <w:t>Re-fe-rent go-di-na</w:t>
            </w:r>
          </w:p>
        </w:tc>
        <w:tc>
          <w:tcPr>
            <w:tcW w:w="499" w:type="pct"/>
            <w:gridSpan w:val="2"/>
            <w:tcBorders>
              <w:top w:val="single" w:sz="4" w:space="0" w:color="auto"/>
              <w:left w:val="single" w:sz="4" w:space="0" w:color="auto"/>
              <w:bottom w:val="single" w:sz="4" w:space="0" w:color="auto"/>
              <w:right w:val="single" w:sz="4" w:space="0" w:color="auto"/>
            </w:tcBorders>
            <w:hideMark/>
          </w:tcPr>
          <w:p w:rsidR="00FF2EC0" w:rsidRPr="001D50E3" w:rsidRDefault="00FF2EC0" w:rsidP="00754C28">
            <w:pPr>
              <w:spacing w:before="120" w:after="120" w:line="276" w:lineRule="auto"/>
              <w:jc w:val="both"/>
              <w:rPr>
                <w:rFonts w:ascii="Arial" w:eastAsia="Calibri" w:hAnsi="Arial" w:cs="Arial"/>
                <w:b/>
                <w:noProof/>
              </w:rPr>
            </w:pPr>
            <w:r w:rsidRPr="001D50E3">
              <w:rPr>
                <w:rFonts w:ascii="Arial" w:eastAsia="Calibri" w:hAnsi="Arial" w:cs="Arial"/>
                <w:b/>
                <w:noProof/>
              </w:rPr>
              <w:t xml:space="preserve"> Objektivi final (2029)</w:t>
            </w:r>
          </w:p>
        </w:tc>
        <w:tc>
          <w:tcPr>
            <w:tcW w:w="440" w:type="pct"/>
            <w:tcBorders>
              <w:top w:val="single" w:sz="4" w:space="0" w:color="auto"/>
              <w:left w:val="single" w:sz="4" w:space="0" w:color="auto"/>
              <w:bottom w:val="single" w:sz="4" w:space="0" w:color="auto"/>
              <w:right w:val="single" w:sz="4" w:space="0" w:color="auto"/>
            </w:tcBorders>
            <w:hideMark/>
          </w:tcPr>
          <w:p w:rsidR="00FF2EC0" w:rsidRPr="001D50E3" w:rsidRDefault="00FF2EC0" w:rsidP="00754C28">
            <w:pPr>
              <w:spacing w:before="120" w:after="120" w:line="276" w:lineRule="auto"/>
              <w:jc w:val="both"/>
              <w:rPr>
                <w:rFonts w:ascii="Arial" w:eastAsia="Calibri" w:hAnsi="Arial" w:cs="Arial"/>
                <w:b/>
                <w:noProof/>
                <w:lang w:val="mk-MK"/>
              </w:rPr>
            </w:pPr>
            <w:r w:rsidRPr="001D50E3">
              <w:rPr>
                <w:rFonts w:ascii="Arial" w:eastAsia="Calibri" w:hAnsi="Arial" w:cs="Arial"/>
                <w:b/>
                <w:noProof/>
                <w:lang w:val="mk-MK"/>
              </w:rPr>
              <w:t>Burim i të dhënave</w:t>
            </w:r>
          </w:p>
        </w:tc>
        <w:tc>
          <w:tcPr>
            <w:tcW w:w="551" w:type="pct"/>
            <w:gridSpan w:val="2"/>
            <w:tcBorders>
              <w:top w:val="single" w:sz="4" w:space="0" w:color="auto"/>
              <w:left w:val="single" w:sz="4" w:space="0" w:color="auto"/>
              <w:bottom w:val="single" w:sz="4" w:space="0" w:color="auto"/>
              <w:right w:val="single" w:sz="4" w:space="0" w:color="auto"/>
            </w:tcBorders>
            <w:hideMark/>
          </w:tcPr>
          <w:p w:rsidR="00FF2EC0" w:rsidRPr="001D50E3" w:rsidRDefault="00FF2EC0" w:rsidP="00754C28">
            <w:pPr>
              <w:spacing w:before="120" w:after="120" w:line="276" w:lineRule="auto"/>
              <w:jc w:val="both"/>
              <w:rPr>
                <w:rFonts w:ascii="Arial" w:eastAsia="Calibri" w:hAnsi="Arial" w:cs="Arial"/>
                <w:b/>
                <w:noProof/>
                <w:lang w:val="sq-AL"/>
              </w:rPr>
            </w:pPr>
            <w:r w:rsidRPr="001D50E3">
              <w:rPr>
                <w:rFonts w:ascii="Arial" w:eastAsia="Calibri" w:hAnsi="Arial" w:cs="Arial"/>
                <w:b/>
                <w:noProof/>
                <w:lang w:val="sq-AL"/>
              </w:rPr>
              <w:t>Komentar</w:t>
            </w:r>
          </w:p>
        </w:tc>
      </w:tr>
      <w:tr w:rsidR="00FF2EC0" w:rsidRPr="001D50E3" w:rsidTr="00754C28">
        <w:trPr>
          <w:gridAfter w:val="1"/>
          <w:wAfter w:w="468" w:type="pct"/>
          <w:trHeight w:val="629"/>
        </w:trPr>
        <w:tc>
          <w:tcPr>
            <w:tcW w:w="622" w:type="pct"/>
            <w:gridSpan w:val="2"/>
            <w:tcBorders>
              <w:top w:val="single" w:sz="4" w:space="0" w:color="auto"/>
              <w:left w:val="single" w:sz="4" w:space="0" w:color="auto"/>
              <w:bottom w:val="single" w:sz="4" w:space="0" w:color="auto"/>
              <w:right w:val="single" w:sz="4" w:space="0" w:color="auto"/>
            </w:tcBorders>
            <w:hideMark/>
          </w:tcPr>
          <w:p w:rsidR="00FF2EC0" w:rsidRPr="001D50E3" w:rsidRDefault="00FF2EC0" w:rsidP="00754C28">
            <w:pPr>
              <w:spacing w:before="120" w:after="120" w:line="276" w:lineRule="auto"/>
              <w:jc w:val="both"/>
              <w:rPr>
                <w:rFonts w:ascii="Arial" w:eastAsia="Times New Roman" w:hAnsi="Arial" w:cs="Arial"/>
                <w:i/>
                <w:noProof/>
                <w:color w:val="000000"/>
                <w:lang w:val="sq-AL" w:eastAsia="en-GB"/>
              </w:rPr>
            </w:pPr>
            <w:r w:rsidRPr="001D50E3">
              <w:rPr>
                <w:rFonts w:ascii="Arial" w:eastAsia="Times New Roman" w:hAnsi="Arial" w:cs="Arial"/>
                <w:i/>
                <w:noProof/>
                <w:color w:val="000000"/>
                <w:lang w:val="sq-AL" w:eastAsia="en-GB"/>
              </w:rPr>
              <w:t>Zhvillimi i integruar i rajonit ndërkufitar</w:t>
            </w:r>
          </w:p>
        </w:tc>
        <w:tc>
          <w:tcPr>
            <w:tcW w:w="673" w:type="pct"/>
            <w:gridSpan w:val="2"/>
            <w:tcBorders>
              <w:top w:val="single" w:sz="4" w:space="0" w:color="auto"/>
              <w:left w:val="single" w:sz="4" w:space="0" w:color="auto"/>
              <w:bottom w:val="single" w:sz="4" w:space="0" w:color="auto"/>
              <w:right w:val="single" w:sz="4" w:space="0" w:color="auto"/>
            </w:tcBorders>
            <w:hideMark/>
          </w:tcPr>
          <w:p w:rsidR="00FF2EC0" w:rsidRPr="001D50E3" w:rsidRDefault="00FF2EC0" w:rsidP="00754C28">
            <w:pPr>
              <w:spacing w:before="120" w:after="120" w:line="276" w:lineRule="auto"/>
              <w:jc w:val="both"/>
              <w:rPr>
                <w:rFonts w:ascii="Arial" w:eastAsia="Times New Roman" w:hAnsi="Arial" w:cs="Arial"/>
                <w:i/>
                <w:noProof/>
                <w:color w:val="000000"/>
                <w:lang w:eastAsia="en-GB"/>
              </w:rPr>
            </w:pPr>
            <w:r w:rsidRPr="001D50E3">
              <w:rPr>
                <w:rFonts w:ascii="Arial" w:eastAsia="Times New Roman" w:hAnsi="Arial" w:cs="Arial"/>
                <w:i/>
                <w:noProof/>
                <w:color w:val="000000"/>
                <w:lang w:eastAsia="en-GB"/>
              </w:rPr>
              <w:t>SC (ii) Promovimi i zhvillimit të integruar social, ekonomik dhe mjedisor, trashëgimisë kulturore dhe sigurisë në zona të ndryshme nga ato urbane</w:t>
            </w:r>
          </w:p>
        </w:tc>
        <w:tc>
          <w:tcPr>
            <w:tcW w:w="523" w:type="pct"/>
            <w:gridSpan w:val="2"/>
            <w:tcBorders>
              <w:top w:val="single" w:sz="4" w:space="0" w:color="auto"/>
              <w:left w:val="single" w:sz="4" w:space="0" w:color="auto"/>
              <w:bottom w:val="single" w:sz="4" w:space="0" w:color="auto"/>
              <w:right w:val="single" w:sz="4" w:space="0" w:color="auto"/>
            </w:tcBorders>
            <w:hideMark/>
          </w:tcPr>
          <w:p w:rsidR="00FF2EC0" w:rsidRPr="001D50E3" w:rsidRDefault="00FF2EC0" w:rsidP="00754C28">
            <w:pPr>
              <w:spacing w:before="120" w:after="120" w:line="276" w:lineRule="auto"/>
              <w:jc w:val="both"/>
              <w:rPr>
                <w:rFonts w:ascii="Arial" w:eastAsia="Calibri" w:hAnsi="Arial" w:cs="Arial"/>
                <w:i/>
                <w:noProof/>
              </w:rPr>
            </w:pPr>
            <w:r w:rsidRPr="001D50E3">
              <w:rPr>
                <w:rFonts w:ascii="Arial" w:eastAsia="Calibri" w:hAnsi="Arial" w:cs="Arial"/>
                <w:i/>
                <w:noProof/>
              </w:rPr>
              <w:t>RCR104</w:t>
            </w:r>
          </w:p>
        </w:tc>
        <w:tc>
          <w:tcPr>
            <w:tcW w:w="559" w:type="pct"/>
            <w:tcBorders>
              <w:top w:val="single" w:sz="4" w:space="0" w:color="auto"/>
              <w:left w:val="single" w:sz="4" w:space="0" w:color="auto"/>
              <w:bottom w:val="single" w:sz="4" w:space="0" w:color="auto"/>
              <w:right w:val="single" w:sz="4" w:space="0" w:color="auto"/>
            </w:tcBorders>
          </w:tcPr>
          <w:p w:rsidR="00FF2EC0" w:rsidRPr="001D50E3" w:rsidRDefault="00FF2EC0" w:rsidP="00754C28">
            <w:pPr>
              <w:spacing w:before="120" w:after="120" w:line="276" w:lineRule="auto"/>
              <w:jc w:val="both"/>
              <w:rPr>
                <w:rFonts w:ascii="Arial" w:eastAsia="Times New Roman" w:hAnsi="Arial" w:cs="Arial"/>
                <w:i/>
                <w:noProof/>
                <w:color w:val="000000"/>
                <w:lang w:val="mk-MK" w:eastAsia="en-GB"/>
              </w:rPr>
            </w:pPr>
            <w:r w:rsidRPr="001D50E3">
              <w:rPr>
                <w:rFonts w:ascii="Arial" w:eastAsia="Times New Roman" w:hAnsi="Arial" w:cs="Arial"/>
                <w:i/>
                <w:noProof/>
                <w:color w:val="000000"/>
                <w:lang w:val="mk-MK" w:eastAsia="en-GB"/>
              </w:rPr>
              <w:t>Menyja e zgjidh-shkarkuar ose e zgjeruar nga organizatat</w:t>
            </w:r>
          </w:p>
        </w:tc>
        <w:tc>
          <w:tcPr>
            <w:tcW w:w="422" w:type="pct"/>
            <w:tcBorders>
              <w:top w:val="single" w:sz="4" w:space="0" w:color="auto"/>
              <w:left w:val="single" w:sz="4" w:space="0" w:color="auto"/>
              <w:bottom w:val="single" w:sz="4" w:space="0" w:color="auto"/>
              <w:right w:val="single" w:sz="4" w:space="0" w:color="auto"/>
            </w:tcBorders>
          </w:tcPr>
          <w:p w:rsidR="00FF2EC0" w:rsidRPr="001D50E3" w:rsidRDefault="00FF2EC0" w:rsidP="00754C28">
            <w:pPr>
              <w:spacing w:before="120" w:after="120" w:line="276" w:lineRule="auto"/>
              <w:jc w:val="both"/>
              <w:rPr>
                <w:rFonts w:ascii="Arial" w:eastAsia="Calibri" w:hAnsi="Arial" w:cs="Arial"/>
                <w:i/>
                <w:noProof/>
              </w:rPr>
            </w:pPr>
            <w:r w:rsidRPr="001D50E3">
              <w:rPr>
                <w:rFonts w:ascii="Arial" w:eastAsia="Calibri" w:hAnsi="Arial" w:cs="Arial"/>
                <w:i/>
                <w:noProof/>
              </w:rPr>
              <w:t>Zgjidhje</w:t>
            </w:r>
          </w:p>
        </w:tc>
        <w:tc>
          <w:tcPr>
            <w:tcW w:w="238" w:type="pct"/>
            <w:gridSpan w:val="2"/>
            <w:tcBorders>
              <w:top w:val="single" w:sz="4" w:space="0" w:color="auto"/>
              <w:left w:val="single" w:sz="4" w:space="0" w:color="auto"/>
              <w:bottom w:val="single" w:sz="4" w:space="0" w:color="auto"/>
              <w:right w:val="single" w:sz="4" w:space="0" w:color="auto"/>
            </w:tcBorders>
          </w:tcPr>
          <w:p w:rsidR="00FF2EC0" w:rsidRPr="001D50E3" w:rsidRDefault="00FF2EC0" w:rsidP="00754C28">
            <w:pPr>
              <w:spacing w:before="120" w:after="120" w:line="276" w:lineRule="auto"/>
              <w:jc w:val="both"/>
              <w:rPr>
                <w:rFonts w:ascii="Arial" w:eastAsia="Calibri" w:hAnsi="Arial" w:cs="Arial"/>
                <w:b/>
                <w:noProof/>
              </w:rPr>
            </w:pPr>
          </w:p>
        </w:tc>
        <w:tc>
          <w:tcPr>
            <w:tcW w:w="449" w:type="pct"/>
            <w:gridSpan w:val="2"/>
            <w:tcBorders>
              <w:top w:val="single" w:sz="4" w:space="0" w:color="auto"/>
              <w:left w:val="single" w:sz="4" w:space="0" w:color="auto"/>
              <w:bottom w:val="single" w:sz="4" w:space="0" w:color="auto"/>
              <w:right w:val="single" w:sz="4" w:space="0" w:color="auto"/>
            </w:tcBorders>
            <w:hideMark/>
          </w:tcPr>
          <w:p w:rsidR="00FF2EC0" w:rsidRPr="001D50E3" w:rsidRDefault="00FF2EC0" w:rsidP="00754C28">
            <w:pPr>
              <w:spacing w:before="120" w:after="120" w:line="276" w:lineRule="auto"/>
              <w:jc w:val="both"/>
              <w:rPr>
                <w:rFonts w:ascii="Arial" w:eastAsia="Calibri" w:hAnsi="Arial" w:cs="Arial"/>
                <w:b/>
                <w:noProof/>
              </w:rPr>
            </w:pPr>
            <w:r w:rsidRPr="001D50E3">
              <w:rPr>
                <w:rFonts w:ascii="Arial" w:eastAsia="Calibri" w:hAnsi="Arial" w:cs="Arial"/>
                <w:b/>
                <w:noProof/>
              </w:rPr>
              <w:t>28</w:t>
            </w:r>
          </w:p>
        </w:tc>
        <w:tc>
          <w:tcPr>
            <w:tcW w:w="402" w:type="pct"/>
            <w:gridSpan w:val="2"/>
            <w:tcBorders>
              <w:top w:val="single" w:sz="4" w:space="0" w:color="auto"/>
              <w:left w:val="single" w:sz="4" w:space="0" w:color="auto"/>
              <w:bottom w:val="single" w:sz="4" w:space="0" w:color="auto"/>
              <w:right w:val="single" w:sz="4" w:space="0" w:color="auto"/>
            </w:tcBorders>
            <w:hideMark/>
          </w:tcPr>
          <w:p w:rsidR="00FF2EC0" w:rsidRPr="001D50E3" w:rsidRDefault="00FF2EC0" w:rsidP="00754C28">
            <w:pPr>
              <w:spacing w:before="120" w:after="120" w:line="276" w:lineRule="auto"/>
              <w:jc w:val="both"/>
              <w:rPr>
                <w:rFonts w:ascii="Arial" w:eastAsia="Calibri" w:hAnsi="Arial" w:cs="Arial"/>
                <w:i/>
                <w:noProof/>
                <w:lang w:val="mk-MK"/>
              </w:rPr>
            </w:pPr>
            <w:r w:rsidRPr="001D50E3">
              <w:rPr>
                <w:rFonts w:ascii="Arial" w:eastAsia="Calibri" w:hAnsi="Arial" w:cs="Arial"/>
                <w:i/>
                <w:noProof/>
                <w:lang w:val="mk-MK"/>
              </w:rPr>
              <w:t>Sistemi Mo-ni-to-ring dhe UO</w:t>
            </w:r>
          </w:p>
        </w:tc>
        <w:tc>
          <w:tcPr>
            <w:tcW w:w="644" w:type="pct"/>
            <w:gridSpan w:val="3"/>
            <w:tcBorders>
              <w:top w:val="single" w:sz="4" w:space="0" w:color="auto"/>
              <w:left w:val="single" w:sz="4" w:space="0" w:color="auto"/>
              <w:bottom w:val="single" w:sz="4" w:space="0" w:color="auto"/>
              <w:right w:val="single" w:sz="4" w:space="0" w:color="auto"/>
            </w:tcBorders>
          </w:tcPr>
          <w:p w:rsidR="00FF2EC0" w:rsidRPr="001D50E3" w:rsidRDefault="00FF2EC0" w:rsidP="00754C28">
            <w:pPr>
              <w:spacing w:line="276" w:lineRule="auto"/>
              <w:jc w:val="both"/>
              <w:rPr>
                <w:rFonts w:ascii="Arial" w:eastAsia="Calibri" w:hAnsi="Arial" w:cs="Arial"/>
                <w:i/>
                <w:noProof/>
              </w:rPr>
            </w:pPr>
          </w:p>
        </w:tc>
      </w:tr>
    </w:tbl>
    <w:p w:rsidR="00754C28" w:rsidRDefault="00754C28" w:rsidP="00FF2EC0">
      <w:pPr>
        <w:jc w:val="both"/>
        <w:rPr>
          <w:rFonts w:ascii="Arial" w:hAnsi="Arial" w:cs="Arial"/>
          <w:b/>
          <w:lang w:val="sq-AL"/>
        </w:rPr>
      </w:pPr>
    </w:p>
    <w:p w:rsidR="00FF2EC0" w:rsidRPr="001D50E3" w:rsidRDefault="00FF2EC0" w:rsidP="00754C28">
      <w:pPr>
        <w:spacing w:line="276" w:lineRule="auto"/>
        <w:jc w:val="both"/>
        <w:rPr>
          <w:rFonts w:ascii="Arial" w:hAnsi="Arial" w:cs="Arial"/>
          <w:b/>
          <w:lang w:val="sq-AL"/>
        </w:rPr>
      </w:pPr>
      <w:r w:rsidRPr="001D50E3">
        <w:rPr>
          <w:rFonts w:ascii="Arial" w:hAnsi="Arial" w:cs="Arial"/>
          <w:b/>
          <w:lang w:val="sq-AL"/>
        </w:rPr>
        <w:t xml:space="preserve">2.3.4. Qëllimet krzesore grupore </w:t>
      </w:r>
    </w:p>
    <w:p w:rsidR="00FF2EC0" w:rsidRPr="001D50E3" w:rsidRDefault="00FF2EC0" w:rsidP="00754C28">
      <w:pPr>
        <w:spacing w:line="276" w:lineRule="auto"/>
        <w:jc w:val="both"/>
        <w:rPr>
          <w:rFonts w:ascii="Arial" w:hAnsi="Arial" w:cs="Arial"/>
          <w:lang w:val="sq-AL"/>
        </w:rPr>
      </w:pPr>
      <w:r w:rsidRPr="001D50E3">
        <w:rPr>
          <w:rFonts w:ascii="Arial" w:hAnsi="Arial" w:cs="Arial"/>
          <w:lang w:val="sq-AL"/>
        </w:rPr>
        <w:t>Referenca: Neni pika (e) (iii) e 17 (3), pika (c) (iv) e nenit 17 (9)</w:t>
      </w:r>
    </w:p>
    <w:p w:rsidR="00FF2EC0" w:rsidRPr="001D50E3" w:rsidRDefault="00FF2EC0" w:rsidP="00754C28">
      <w:pPr>
        <w:spacing w:line="276" w:lineRule="auto"/>
        <w:jc w:val="both"/>
        <w:rPr>
          <w:rFonts w:ascii="Arial" w:hAnsi="Arial" w:cs="Arial"/>
          <w:lang w:val="sq-AL"/>
        </w:rPr>
      </w:pPr>
      <w:r w:rsidRPr="001D50E3">
        <w:rPr>
          <w:rFonts w:ascii="Arial" w:hAnsi="Arial" w:cs="Arial"/>
          <w:lang w:val="sq-AL"/>
        </w:rPr>
        <w:t>Fuisha e tekstit [7000]</w:t>
      </w:r>
    </w:p>
    <w:p w:rsidR="00FF2EC0" w:rsidRPr="001D50E3" w:rsidRDefault="00FF2EC0" w:rsidP="00754C28">
      <w:pPr>
        <w:spacing w:line="276" w:lineRule="auto"/>
        <w:jc w:val="both"/>
        <w:rPr>
          <w:rFonts w:ascii="Arial" w:hAnsi="Arial" w:cs="Arial"/>
          <w:lang w:val="sq-AL"/>
        </w:rPr>
      </w:pPr>
      <w:r w:rsidRPr="001D50E3">
        <w:rPr>
          <w:rFonts w:ascii="Arial" w:hAnsi="Arial" w:cs="Arial"/>
          <w:lang w:val="sq-AL"/>
        </w:rPr>
        <w:t xml:space="preserve">Në zbatimin e kuadrit të KP 5, prioritet do të jetë mbështetja për disa projekte/operacione/aktivitete. Ai vlen veçanërisht për zhvillimin e integruar territorial të shërbimeve të biznesit, shërbimeve me interes të përgjithshëm, marrëdhënieve qytet-fshat etj. Fusha e bashkëpunimit ndërkufitar konsiderohet të ketë potencial dhe aktivitete të pashfrytëzuara ekonomike që synojnë ndërmarrjet e vogla dhe të mesme dhe pjesëmarrja e </w:t>
      </w:r>
      <w:r w:rsidRPr="001D50E3">
        <w:rPr>
          <w:rFonts w:ascii="Arial" w:hAnsi="Arial" w:cs="Arial"/>
          <w:lang w:val="sq-AL"/>
        </w:rPr>
        <w:lastRenderedPageBreak/>
        <w:t>tyre e përmirësuar në zinxhirët e vlerave rajonale pritet të forcojë kohezionin territorial dhe të kontribuojë pozitivisht në rritjen ekonomike të rajonit. Mbulimi i target grupeve të mëposhtme do të ketë një efekt të favorshëm në shfrytëzimin maksimal të potencialit ekonomik të territoreve fqinje. Kjo duhet të rrisë konkurrencën e ekonomisë lokale dhe të përmirësojë mjedisin e biznesit në rajon.</w:t>
      </w:r>
    </w:p>
    <w:p w:rsidR="00FF2EC0" w:rsidRPr="001D50E3" w:rsidRDefault="00FF2EC0" w:rsidP="00754C28">
      <w:pPr>
        <w:spacing w:line="276" w:lineRule="auto"/>
        <w:jc w:val="both"/>
        <w:rPr>
          <w:rFonts w:ascii="Arial" w:hAnsi="Arial" w:cs="Arial"/>
          <w:lang w:val="sq-AL"/>
        </w:rPr>
      </w:pPr>
      <w:r w:rsidRPr="001D50E3">
        <w:rPr>
          <w:rFonts w:ascii="Arial" w:hAnsi="Arial" w:cs="Arial"/>
          <w:lang w:val="sq-AL"/>
        </w:rPr>
        <w:t>. Shoqëria civile</w:t>
      </w:r>
    </w:p>
    <w:p w:rsidR="00FF2EC0" w:rsidRPr="001D50E3" w:rsidRDefault="00FF2EC0" w:rsidP="00754C28">
      <w:pPr>
        <w:spacing w:line="276" w:lineRule="auto"/>
        <w:jc w:val="both"/>
        <w:rPr>
          <w:rFonts w:ascii="Arial" w:hAnsi="Arial" w:cs="Arial"/>
          <w:lang w:val="sq-AL"/>
        </w:rPr>
      </w:pPr>
      <w:r w:rsidRPr="001D50E3">
        <w:rPr>
          <w:rFonts w:ascii="Arial" w:hAnsi="Arial" w:cs="Arial"/>
          <w:lang w:val="sq-AL"/>
        </w:rPr>
        <w:t>Organet dhe autoritetet vendore/rajonale, strukturat rajonale të autoriteteve publike qendrore</w:t>
      </w:r>
    </w:p>
    <w:p w:rsidR="00FF2EC0" w:rsidRPr="001D50E3" w:rsidRDefault="00FF2EC0" w:rsidP="00754C28">
      <w:pPr>
        <w:spacing w:line="276" w:lineRule="auto"/>
        <w:jc w:val="both"/>
        <w:rPr>
          <w:rFonts w:ascii="Arial" w:hAnsi="Arial" w:cs="Arial"/>
          <w:lang w:val="sq-AL"/>
        </w:rPr>
      </w:pPr>
      <w:r w:rsidRPr="001D50E3">
        <w:rPr>
          <w:rFonts w:ascii="Arial" w:hAnsi="Arial" w:cs="Arial"/>
          <w:lang w:val="sq-AL"/>
        </w:rPr>
        <w:t> Organizatat joqeveritare</w:t>
      </w:r>
    </w:p>
    <w:p w:rsidR="00FF2EC0" w:rsidRPr="001D50E3" w:rsidRDefault="00FF2EC0" w:rsidP="00754C28">
      <w:pPr>
        <w:spacing w:line="276" w:lineRule="auto"/>
        <w:jc w:val="both"/>
        <w:rPr>
          <w:rFonts w:ascii="Arial" w:hAnsi="Arial" w:cs="Arial"/>
          <w:lang w:val="sq-AL"/>
        </w:rPr>
      </w:pPr>
      <w:r w:rsidRPr="001D50E3">
        <w:rPr>
          <w:rFonts w:ascii="Arial" w:hAnsi="Arial" w:cs="Arial"/>
          <w:lang w:val="sq-AL"/>
        </w:rPr>
        <w:t> Kërkim dhe zhvillim, institucione akademike dhe trajnuese</w:t>
      </w:r>
    </w:p>
    <w:p w:rsidR="00FF2EC0" w:rsidRPr="001D50E3" w:rsidRDefault="00FF2EC0" w:rsidP="00754C28">
      <w:pPr>
        <w:spacing w:line="276" w:lineRule="auto"/>
        <w:jc w:val="both"/>
        <w:rPr>
          <w:rFonts w:ascii="Arial" w:hAnsi="Arial" w:cs="Arial"/>
          <w:lang w:val="sq-AL"/>
        </w:rPr>
      </w:pPr>
      <w:r w:rsidRPr="001D50E3">
        <w:rPr>
          <w:rFonts w:ascii="Arial" w:hAnsi="Arial" w:cs="Arial"/>
          <w:lang w:val="sq-AL"/>
        </w:rPr>
        <w:t>Institucionet sociale</w:t>
      </w:r>
    </w:p>
    <w:p w:rsidR="00FF2EC0" w:rsidRPr="001D50E3" w:rsidRDefault="00FF2EC0" w:rsidP="00754C28">
      <w:pPr>
        <w:spacing w:line="276" w:lineRule="auto"/>
        <w:jc w:val="both"/>
        <w:rPr>
          <w:rFonts w:ascii="Arial" w:hAnsi="Arial" w:cs="Arial"/>
          <w:lang w:val="sq-AL"/>
        </w:rPr>
      </w:pPr>
      <w:r w:rsidRPr="001D50E3">
        <w:rPr>
          <w:rFonts w:ascii="Arial" w:hAnsi="Arial" w:cs="Arial"/>
          <w:lang w:val="sq-AL"/>
        </w:rPr>
        <w:t> MSME</w:t>
      </w:r>
    </w:p>
    <w:p w:rsidR="00FF2EC0" w:rsidRPr="001D50E3" w:rsidRDefault="00FF2EC0" w:rsidP="00754C28">
      <w:pPr>
        <w:spacing w:line="276" w:lineRule="auto"/>
        <w:jc w:val="both"/>
        <w:rPr>
          <w:rFonts w:ascii="Arial" w:hAnsi="Arial" w:cs="Arial"/>
          <w:lang w:val="sq-AL"/>
        </w:rPr>
      </w:pPr>
      <w:r w:rsidRPr="001D50E3">
        <w:rPr>
          <w:rFonts w:ascii="Arial" w:hAnsi="Arial" w:cs="Arial"/>
          <w:lang w:val="sq-AL"/>
        </w:rPr>
        <w:t> Popullsia lokale</w:t>
      </w:r>
    </w:p>
    <w:p w:rsidR="00FF2EC0" w:rsidRPr="001D50E3" w:rsidRDefault="00FF2EC0" w:rsidP="00754C28">
      <w:pPr>
        <w:spacing w:line="276" w:lineRule="auto"/>
        <w:jc w:val="both"/>
        <w:rPr>
          <w:rFonts w:ascii="Arial" w:hAnsi="Arial" w:cs="Arial"/>
          <w:lang w:val="sq-AL"/>
        </w:rPr>
      </w:pPr>
    </w:p>
    <w:p w:rsidR="00FF2EC0" w:rsidRPr="001D50E3" w:rsidRDefault="00FF2EC0" w:rsidP="00754C28">
      <w:pPr>
        <w:spacing w:line="276" w:lineRule="auto"/>
        <w:jc w:val="both"/>
        <w:rPr>
          <w:rFonts w:ascii="Arial" w:hAnsi="Arial" w:cs="Arial"/>
          <w:b/>
          <w:lang w:val="sq-AL"/>
        </w:rPr>
      </w:pPr>
      <w:r w:rsidRPr="001D50E3">
        <w:rPr>
          <w:rFonts w:ascii="Arial" w:hAnsi="Arial" w:cs="Arial"/>
          <w:b/>
          <w:lang w:val="sq-AL"/>
        </w:rPr>
        <w:t>2.3.5. Tregimi i territoreve specifike që do të synohen, duke përfshirë përdorimin e planifikuar të Investimeve të Integruara Territoriale - ITI, Zhvillimi Lokal i udhëhequr nga Komuniteti (CLLD) ose mjete të tjera territoriale</w:t>
      </w:r>
    </w:p>
    <w:p w:rsidR="00FF2EC0" w:rsidRPr="001D50E3" w:rsidRDefault="00FF2EC0" w:rsidP="00754C28">
      <w:pPr>
        <w:spacing w:line="276" w:lineRule="auto"/>
        <w:jc w:val="both"/>
        <w:rPr>
          <w:rFonts w:ascii="Arial" w:hAnsi="Arial" w:cs="Arial"/>
          <w:lang w:val="sq-AL"/>
        </w:rPr>
      </w:pPr>
      <w:r w:rsidRPr="001D50E3">
        <w:rPr>
          <w:rFonts w:ascii="Arial" w:hAnsi="Arial" w:cs="Arial"/>
          <w:lang w:val="sq-AL"/>
        </w:rPr>
        <w:t>Referenca: Neni pika (e) (iv) e 17 (3)</w:t>
      </w:r>
    </w:p>
    <w:p w:rsidR="00FF2EC0" w:rsidRPr="001D50E3" w:rsidRDefault="00FF2EC0" w:rsidP="00754C28">
      <w:pPr>
        <w:spacing w:line="276" w:lineRule="auto"/>
        <w:jc w:val="both"/>
        <w:rPr>
          <w:rFonts w:ascii="Arial" w:hAnsi="Arial" w:cs="Arial"/>
          <w:lang w:val="sq-AL"/>
        </w:rPr>
      </w:pPr>
      <w:r w:rsidRPr="001D50E3">
        <w:rPr>
          <w:rFonts w:ascii="Arial" w:hAnsi="Arial" w:cs="Arial"/>
          <w:lang w:val="sq-AL"/>
        </w:rPr>
        <w:t>Fusha e tekstit [7000]</w:t>
      </w:r>
    </w:p>
    <w:p w:rsidR="00FF2EC0" w:rsidRPr="001D50E3" w:rsidRDefault="00FF2EC0" w:rsidP="00754C28">
      <w:pPr>
        <w:spacing w:line="276" w:lineRule="auto"/>
        <w:jc w:val="both"/>
        <w:rPr>
          <w:rFonts w:ascii="Arial" w:hAnsi="Arial" w:cs="Arial"/>
          <w:lang w:val="sq-AL"/>
        </w:rPr>
      </w:pPr>
      <w:r w:rsidRPr="001D50E3">
        <w:rPr>
          <w:rFonts w:ascii="Arial" w:hAnsi="Arial" w:cs="Arial"/>
          <w:lang w:val="sq-AL"/>
        </w:rPr>
        <w:t>Zbatimi i Prioritetit 3 Zhvillimi i Integruar i rajonit ndërkufitar është planifikuar të zbatohet nëpërmjet instrumentit Strategjia e Integruar Territoriale (STI), dmth. mjete të tjera territoriale (neni 28 (c) i Rregullores për Dispozitat e Përbashkëta - OBSH (CPR). Një analizë e kryer për nevojat e Strategjisë së Integruar Territoriale zbuloi sfida, nevoja dhe potenciale të ngjashme ekonomike, sociale dhe territoriale. Kjo konsiderohet si një motivi për të përcaktuar me kusht të gjithë rajonin e CSP-së si e vetmja zonë funksionale që i nënshtrohet ITS Zonat funksionale specifike rekomandohen si hapësira investuese të rekomanduara në varësi të karakterit të tyre.Pesë qendrat e rretheve në rajonin e BNK (Kumanovë, Qyustendil, Shtip, Blagoevgrad, Strumicë ) janë qendra zhvillimi në territorin ndërkufitar dhe "nyje" të një rrjeti policentrik Ato i shërbejnë pjesës tjetër të territorit, duke bërë ndërveprime komplekse. dhe ndërvarësitë me qytetet më të vogla dhe vendbanimet e tjera. Secila nga këto 5 zona tregon tiparet e përbashkëta të një zone funksionale, por për shkak të mbulimit të tyre të kufizuar gjeografik është e vështirë të përshtatet me planet individuale të investimeve. Gjatë funksionimit në këto sisteme, diapazoni hapësinor i ITS mund të tejkalojë kufijtë formalë të rajonit PGS. Kjo ilustron që zonat funksionale kanë kufij të kushtëzuar në varësi të fushëveprimit funksional të aktivitetit / ndërhyrjes / masës së nisur.</w:t>
      </w:r>
    </w:p>
    <w:p w:rsidR="00FF2EC0" w:rsidRPr="001D50E3" w:rsidRDefault="00FF2EC0" w:rsidP="00754C28">
      <w:pPr>
        <w:spacing w:line="276" w:lineRule="auto"/>
        <w:jc w:val="both"/>
        <w:rPr>
          <w:rFonts w:ascii="Arial" w:hAnsi="Arial" w:cs="Arial"/>
          <w:lang w:val="sq-AL"/>
        </w:rPr>
      </w:pPr>
      <w:r w:rsidRPr="001D50E3">
        <w:rPr>
          <w:rFonts w:ascii="Arial" w:hAnsi="Arial" w:cs="Arial"/>
          <w:lang w:val="sq-AL"/>
        </w:rPr>
        <w:t>Prandaj, mund të thuhet se territori i ITS:</w:t>
      </w:r>
    </w:p>
    <w:p w:rsidR="00FF2EC0" w:rsidRPr="001D50E3" w:rsidRDefault="00FF2EC0" w:rsidP="00754C28">
      <w:pPr>
        <w:spacing w:line="276" w:lineRule="auto"/>
        <w:jc w:val="both"/>
        <w:rPr>
          <w:rFonts w:ascii="Arial" w:hAnsi="Arial" w:cs="Arial"/>
          <w:lang w:val="sq-AL"/>
        </w:rPr>
      </w:pPr>
      <w:r w:rsidRPr="001D50E3">
        <w:rPr>
          <w:rFonts w:ascii="Arial" w:hAnsi="Arial" w:cs="Arial"/>
          <w:lang w:val="sq-AL"/>
        </w:rPr>
        <w:t>- Mbështet për përpunimin dhe zbatimin e një përgjigjeje të integruar ndaj nevojave të identifikuara dhe potencialeve të zhvillimit, të ngushtuar në fushëveprim për të mbuluar kriterin e fizibilitetit;</w:t>
      </w:r>
    </w:p>
    <w:p w:rsidR="00FF2EC0" w:rsidRPr="001D50E3" w:rsidRDefault="00FF2EC0" w:rsidP="00754C28">
      <w:pPr>
        <w:spacing w:line="276" w:lineRule="auto"/>
        <w:jc w:val="both"/>
        <w:rPr>
          <w:rFonts w:ascii="Arial" w:hAnsi="Arial" w:cs="Arial"/>
          <w:lang w:val="sq-AL"/>
        </w:rPr>
      </w:pPr>
      <w:r w:rsidRPr="001D50E3">
        <w:rPr>
          <w:rFonts w:ascii="Arial" w:hAnsi="Arial" w:cs="Arial"/>
          <w:lang w:val="sq-AL"/>
        </w:rPr>
        <w:lastRenderedPageBreak/>
        <w:t>- Përmbush me kusht përcaktimet zyrtare të "zonës/zonës funksionale" (zona me një shkallë të lartë ndërveprimi dhe ndërvarësie, ku nevojiten aktivitete të njëkohshme në sektorë të ndryshëm (arsim, punësim, transport, shëndetësi, mbështetje për biznesin) për të arritur një zhvillim të ardhshëm) ;</w:t>
      </w:r>
    </w:p>
    <w:p w:rsidR="00FF2EC0" w:rsidRPr="001D50E3" w:rsidRDefault="00FF2EC0" w:rsidP="00754C28">
      <w:pPr>
        <w:spacing w:line="276" w:lineRule="auto"/>
        <w:jc w:val="both"/>
        <w:rPr>
          <w:rFonts w:ascii="Arial" w:hAnsi="Arial" w:cs="Arial"/>
          <w:lang w:val="sq-AL"/>
        </w:rPr>
      </w:pPr>
      <w:r w:rsidRPr="001D50E3">
        <w:rPr>
          <w:rFonts w:ascii="Arial" w:hAnsi="Arial" w:cs="Arial"/>
          <w:lang w:val="sq-AL"/>
        </w:rPr>
        <w:t>- Është rezultat i konsensusit të palëve të interesuara së bashku me angazhimin e tyre për të marrë pjesë në zhvillimin dhe zbatimin e ITS</w:t>
      </w:r>
    </w:p>
    <w:p w:rsidR="00FF2EC0" w:rsidRPr="001D50E3" w:rsidRDefault="00FF2EC0" w:rsidP="00754C28">
      <w:pPr>
        <w:spacing w:line="276" w:lineRule="auto"/>
        <w:jc w:val="both"/>
        <w:rPr>
          <w:rFonts w:ascii="Arial" w:hAnsi="Arial" w:cs="Arial"/>
          <w:lang w:val="sq-AL"/>
        </w:rPr>
      </w:pPr>
    </w:p>
    <w:p w:rsidR="00FF2EC0" w:rsidRPr="001D50E3" w:rsidRDefault="00FF2EC0" w:rsidP="00754C28">
      <w:pPr>
        <w:spacing w:line="276" w:lineRule="auto"/>
        <w:jc w:val="both"/>
        <w:rPr>
          <w:rFonts w:ascii="Arial" w:hAnsi="Arial" w:cs="Arial"/>
          <w:lang w:val="sq-AL"/>
        </w:rPr>
      </w:pPr>
      <w:r w:rsidRPr="001D50E3">
        <w:rPr>
          <w:rFonts w:ascii="Arial" w:hAnsi="Arial" w:cs="Arial"/>
          <w:lang w:val="sq-AL"/>
        </w:rPr>
        <w:t>Orientimet strategjike, prioritetet dhe konsideratat e dokumenteve strategjike të mëposhtme të palëve të interesuara rajonale dhe vendore u përdorën si bazë për përgatitjen e ITS:</w:t>
      </w:r>
    </w:p>
    <w:p w:rsidR="00FF2EC0" w:rsidRPr="001D50E3" w:rsidRDefault="00FF2EC0" w:rsidP="00754C28">
      <w:pPr>
        <w:spacing w:line="276" w:lineRule="auto"/>
        <w:jc w:val="both"/>
        <w:rPr>
          <w:rFonts w:ascii="Arial" w:hAnsi="Arial" w:cs="Arial"/>
          <w:lang w:val="sq-AL"/>
        </w:rPr>
      </w:pPr>
      <w:r w:rsidRPr="001D50E3">
        <w:rPr>
          <w:rFonts w:ascii="Arial" w:hAnsi="Arial" w:cs="Arial"/>
          <w:lang w:val="sq-AL"/>
        </w:rPr>
        <w:t>- Strategjia për zhvillimin e integruar territorial të rajonit jugperëndimor (për Republikën e Bullgarisë)</w:t>
      </w:r>
    </w:p>
    <w:p w:rsidR="00FF2EC0" w:rsidRPr="001D50E3" w:rsidRDefault="00FF2EC0" w:rsidP="00754C28">
      <w:pPr>
        <w:spacing w:line="276" w:lineRule="auto"/>
        <w:jc w:val="both"/>
        <w:rPr>
          <w:rFonts w:ascii="Arial" w:hAnsi="Arial" w:cs="Arial"/>
          <w:lang w:val="sq-AL"/>
        </w:rPr>
      </w:pPr>
      <w:r w:rsidRPr="001D50E3">
        <w:rPr>
          <w:rFonts w:ascii="Arial" w:hAnsi="Arial" w:cs="Arial"/>
          <w:lang w:val="sq-AL"/>
        </w:rPr>
        <w:t>- Programi zhvillimor i rajonit planor verilindor 2021-2026 (për Republikën e Maqedonisë Veriore)</w:t>
      </w:r>
    </w:p>
    <w:p w:rsidR="00FF2EC0" w:rsidRPr="001D50E3" w:rsidRDefault="00FF2EC0" w:rsidP="00754C28">
      <w:pPr>
        <w:spacing w:line="276" w:lineRule="auto"/>
        <w:jc w:val="both"/>
        <w:rPr>
          <w:rFonts w:ascii="Arial" w:hAnsi="Arial" w:cs="Arial"/>
          <w:lang w:val="sq-AL"/>
        </w:rPr>
      </w:pPr>
      <w:r w:rsidRPr="001D50E3">
        <w:rPr>
          <w:rFonts w:ascii="Arial" w:hAnsi="Arial" w:cs="Arial"/>
          <w:lang w:val="sq-AL"/>
        </w:rPr>
        <w:t>- Programi zhvillimor i rajonit planor Lindor 2021-2026 (për Republikën e Maqedonisë Veriore)</w:t>
      </w:r>
    </w:p>
    <w:p w:rsidR="00FF2EC0" w:rsidRPr="001D50E3" w:rsidRDefault="00FF2EC0" w:rsidP="00754C28">
      <w:pPr>
        <w:spacing w:line="276" w:lineRule="auto"/>
        <w:jc w:val="both"/>
        <w:rPr>
          <w:rFonts w:ascii="Arial" w:hAnsi="Arial" w:cs="Arial"/>
          <w:lang w:val="sq-AL"/>
        </w:rPr>
      </w:pPr>
      <w:r w:rsidRPr="001D50E3">
        <w:rPr>
          <w:rFonts w:ascii="Arial" w:hAnsi="Arial" w:cs="Arial"/>
          <w:lang w:val="sq-AL"/>
        </w:rPr>
        <w:t>- Programi zhvillimor i rajonit planor Juglindor 2021-2026 (për Republikën e Maqedonisë Veriore)</w:t>
      </w:r>
    </w:p>
    <w:p w:rsidR="00FF2EC0" w:rsidRPr="001D50E3" w:rsidRDefault="00FF2EC0" w:rsidP="00754C28">
      <w:pPr>
        <w:spacing w:line="276" w:lineRule="auto"/>
        <w:jc w:val="both"/>
        <w:rPr>
          <w:rFonts w:ascii="Arial" w:hAnsi="Arial" w:cs="Arial"/>
          <w:lang w:val="sq-AL"/>
        </w:rPr>
      </w:pPr>
    </w:p>
    <w:p w:rsidR="00FF2EC0" w:rsidRPr="001D50E3" w:rsidRDefault="00FF2EC0" w:rsidP="00754C28">
      <w:pPr>
        <w:spacing w:line="276" w:lineRule="auto"/>
        <w:jc w:val="both"/>
        <w:rPr>
          <w:rFonts w:ascii="Arial" w:hAnsi="Arial" w:cs="Arial"/>
          <w:lang w:val="sq-AL"/>
        </w:rPr>
      </w:pPr>
      <w:r w:rsidRPr="001D50E3">
        <w:rPr>
          <w:rFonts w:ascii="Arial" w:hAnsi="Arial" w:cs="Arial"/>
          <w:lang w:val="sq-AL"/>
        </w:rPr>
        <w:t>Duke kryer një analizë gjithëpërfshirëse shumëfazëshe të dokumenteve strategjike, kërkimeve, vlerësimeve dhe përpunimit të të dhënave, u mblodhën dhe u përmblodhën informacionet e nevojshme burimore për të përpiluar një pamje gjithëpërfshirëse të situatës. Si rezultat i nevojave të identifikuara dhe potencialeve zhvillimore të territorit, janë identifikuar fushat kyçe të ndërhyrjes.</w:t>
      </w:r>
    </w:p>
    <w:p w:rsidR="00FF2EC0" w:rsidRPr="001D50E3" w:rsidRDefault="00FF2EC0" w:rsidP="00754C28">
      <w:pPr>
        <w:spacing w:line="276" w:lineRule="auto"/>
        <w:jc w:val="both"/>
        <w:rPr>
          <w:rFonts w:ascii="Arial" w:hAnsi="Arial" w:cs="Arial"/>
          <w:lang w:val="sq-AL"/>
        </w:rPr>
      </w:pPr>
      <w:r w:rsidRPr="001D50E3">
        <w:rPr>
          <w:rFonts w:ascii="Arial" w:hAnsi="Arial" w:cs="Arial"/>
          <w:lang w:val="sq-AL"/>
        </w:rPr>
        <w:t>Qasja e integruar për adresimin e nevojave dhe shfrytëzimin e potencialeve ekzistuese do të zbatohet përmes një pakete masash shumësektoriale (masa të integruara) për të arritur qëllimet e Strategjisë dhe për të siguruar përfshirjen aktive të partnerëve (aktorëve) në të gjitha fazat e zhvillimit të saj. zhvillimi , implementimi ,monitorimi dhe evaluimi.</w:t>
      </w:r>
    </w:p>
    <w:p w:rsidR="00FF2EC0" w:rsidRDefault="00FF2EC0" w:rsidP="00754C28">
      <w:pPr>
        <w:spacing w:line="276" w:lineRule="auto"/>
        <w:jc w:val="both"/>
        <w:rPr>
          <w:rFonts w:ascii="Arial" w:hAnsi="Arial" w:cs="Arial"/>
          <w:u w:val="single"/>
          <w:lang w:val="sq-AL"/>
        </w:rPr>
      </w:pPr>
      <w:r w:rsidRPr="001D50E3">
        <w:rPr>
          <w:rFonts w:ascii="Arial" w:hAnsi="Arial" w:cs="Arial"/>
          <w:u w:val="single"/>
          <w:lang w:val="sq-AL"/>
        </w:rPr>
        <w:t>Të plotësohet në bazë të punës së Grupit të Punës për përgatitjen e ITS.</w:t>
      </w:r>
    </w:p>
    <w:p w:rsidR="00754C28" w:rsidRPr="001D50E3" w:rsidRDefault="00754C28" w:rsidP="00754C28">
      <w:pPr>
        <w:spacing w:line="276" w:lineRule="auto"/>
        <w:jc w:val="both"/>
        <w:rPr>
          <w:rFonts w:ascii="Arial" w:hAnsi="Arial" w:cs="Arial"/>
          <w:u w:val="single"/>
          <w:lang w:val="sq-AL"/>
        </w:rPr>
      </w:pPr>
    </w:p>
    <w:p w:rsidR="00754C28" w:rsidRPr="00754C28" w:rsidRDefault="00FF2EC0" w:rsidP="00754C28">
      <w:pPr>
        <w:spacing w:line="276" w:lineRule="auto"/>
        <w:jc w:val="both"/>
        <w:rPr>
          <w:rFonts w:ascii="Arial" w:hAnsi="Arial" w:cs="Arial"/>
          <w:b/>
          <w:lang w:val="sq-AL"/>
        </w:rPr>
      </w:pPr>
      <w:r w:rsidRPr="001D50E3">
        <w:rPr>
          <w:rFonts w:ascii="Arial" w:hAnsi="Arial" w:cs="Arial"/>
          <w:b/>
          <w:lang w:val="sq-AL"/>
        </w:rPr>
        <w:t>2.3.7. Rishikimi indikativ i burimeve të  rsurseve te programit të BE-së sipas llojit të ndërhyrjes</w:t>
      </w:r>
    </w:p>
    <w:p w:rsidR="00754C28" w:rsidRDefault="00FF2EC0" w:rsidP="00754C28">
      <w:pPr>
        <w:spacing w:line="276" w:lineRule="auto"/>
        <w:jc w:val="both"/>
        <w:rPr>
          <w:rFonts w:ascii="Arial" w:hAnsi="Arial" w:cs="Arial"/>
          <w:u w:val="single"/>
          <w:lang w:val="sq-AL"/>
        </w:rPr>
      </w:pPr>
      <w:r w:rsidRPr="001D50E3">
        <w:rPr>
          <w:rFonts w:ascii="Arial" w:hAnsi="Arial" w:cs="Arial"/>
          <w:u w:val="single"/>
          <w:lang w:val="sq-AL"/>
        </w:rPr>
        <w:t>Referenca: pika (g) (vi) e nenit 17 (3), pika (g) (c) e nenit 17 (9)</w:t>
      </w:r>
    </w:p>
    <w:p w:rsidR="00754C28" w:rsidRDefault="00FF2EC0" w:rsidP="00754C28">
      <w:pPr>
        <w:spacing w:line="276" w:lineRule="auto"/>
        <w:jc w:val="both"/>
        <w:rPr>
          <w:rFonts w:ascii="Arial" w:hAnsi="Arial" w:cs="Arial"/>
          <w:u w:val="single"/>
          <w:lang w:val="sq-AL"/>
        </w:rPr>
      </w:pPr>
      <w:r w:rsidRPr="001D50E3">
        <w:rPr>
          <w:rFonts w:ascii="Arial" w:hAnsi="Arial" w:cs="Arial"/>
          <w:u w:val="single"/>
          <w:lang w:val="sq-AL"/>
        </w:rPr>
        <w:t>Tabela 4: Dimensioni 1 – fusha per intervenim</w:t>
      </w:r>
    </w:p>
    <w:p w:rsidR="00754C28" w:rsidRDefault="00754C28" w:rsidP="00754C28">
      <w:pPr>
        <w:spacing w:line="276" w:lineRule="auto"/>
        <w:jc w:val="both"/>
        <w:rPr>
          <w:rFonts w:ascii="Arial" w:hAnsi="Arial" w:cs="Arial"/>
          <w:u w:val="single"/>
          <w:lang w:val="sq-AL"/>
        </w:rPr>
      </w:pPr>
    </w:p>
    <w:p w:rsidR="00754C28" w:rsidRDefault="00754C28" w:rsidP="00754C28">
      <w:pPr>
        <w:spacing w:line="276" w:lineRule="auto"/>
        <w:jc w:val="both"/>
        <w:rPr>
          <w:rFonts w:ascii="Arial" w:hAnsi="Arial" w:cs="Arial"/>
          <w:u w:val="single"/>
          <w:lang w:val="sq-AL"/>
        </w:rPr>
      </w:pPr>
    </w:p>
    <w:p w:rsidR="00754C28" w:rsidRDefault="00754C28" w:rsidP="00754C28">
      <w:pPr>
        <w:spacing w:line="276" w:lineRule="auto"/>
        <w:jc w:val="both"/>
        <w:rPr>
          <w:rFonts w:ascii="Arial" w:hAnsi="Arial" w:cs="Arial"/>
          <w:u w:val="single"/>
          <w:lang w:val="sq-AL"/>
        </w:rPr>
      </w:pPr>
    </w:p>
    <w:p w:rsidR="00754C28" w:rsidRPr="001D50E3" w:rsidRDefault="00754C28" w:rsidP="00754C28">
      <w:pPr>
        <w:spacing w:line="276" w:lineRule="auto"/>
        <w:jc w:val="both"/>
        <w:rPr>
          <w:rFonts w:ascii="Arial" w:hAnsi="Arial" w:cs="Arial"/>
          <w:u w:val="single"/>
          <w:lang w:val="sq-AL"/>
        </w:rPr>
      </w:pPr>
    </w:p>
    <w:tbl>
      <w:tblPr>
        <w:tblStyle w:val="TableGrid11"/>
        <w:tblW w:w="9923" w:type="dxa"/>
        <w:tblInd w:w="-147" w:type="dxa"/>
        <w:tblLook w:val="04A0" w:firstRow="1" w:lastRow="0" w:firstColumn="1" w:lastColumn="0" w:noHBand="0" w:noVBand="1"/>
      </w:tblPr>
      <w:tblGrid>
        <w:gridCol w:w="1531"/>
        <w:gridCol w:w="1263"/>
        <w:gridCol w:w="1668"/>
        <w:gridCol w:w="3690"/>
        <w:gridCol w:w="1771"/>
      </w:tblGrid>
      <w:tr w:rsidR="00FF2EC0" w:rsidRPr="001D50E3" w:rsidTr="00754C28">
        <w:tc>
          <w:tcPr>
            <w:tcW w:w="1531" w:type="dxa"/>
            <w:tcBorders>
              <w:top w:val="single" w:sz="4" w:space="0" w:color="auto"/>
              <w:left w:val="single" w:sz="4" w:space="0" w:color="auto"/>
              <w:bottom w:val="single" w:sz="4" w:space="0" w:color="auto"/>
              <w:right w:val="single" w:sz="4" w:space="0" w:color="auto"/>
            </w:tcBorders>
            <w:hideMark/>
          </w:tcPr>
          <w:p w:rsidR="00FF2EC0" w:rsidRPr="001D50E3" w:rsidRDefault="00FF2EC0" w:rsidP="00754C28">
            <w:pPr>
              <w:spacing w:line="276" w:lineRule="auto"/>
              <w:jc w:val="both"/>
              <w:rPr>
                <w:rFonts w:ascii="Arial" w:hAnsi="Arial" w:cs="Arial"/>
                <w:b/>
                <w:iCs/>
                <w:noProof/>
                <w:lang w:val="sq-AL" w:eastAsia="en-GB"/>
              </w:rPr>
            </w:pPr>
            <w:r w:rsidRPr="001D50E3">
              <w:rPr>
                <w:rFonts w:ascii="Arial" w:hAnsi="Arial" w:cs="Arial"/>
                <w:b/>
                <w:iCs/>
                <w:noProof/>
                <w:lang w:val="sq-AL" w:eastAsia="en-GB"/>
              </w:rPr>
              <w:t>Prioritet</w:t>
            </w:r>
          </w:p>
        </w:tc>
        <w:tc>
          <w:tcPr>
            <w:tcW w:w="1263" w:type="dxa"/>
            <w:tcBorders>
              <w:top w:val="single" w:sz="4" w:space="0" w:color="auto"/>
              <w:left w:val="single" w:sz="4" w:space="0" w:color="auto"/>
              <w:bottom w:val="single" w:sz="4" w:space="0" w:color="auto"/>
              <w:right w:val="single" w:sz="4" w:space="0" w:color="auto"/>
            </w:tcBorders>
            <w:hideMark/>
          </w:tcPr>
          <w:p w:rsidR="00FF2EC0" w:rsidRPr="001D50E3" w:rsidRDefault="00FF2EC0" w:rsidP="00754C28">
            <w:pPr>
              <w:spacing w:line="276" w:lineRule="auto"/>
              <w:jc w:val="both"/>
              <w:rPr>
                <w:rFonts w:ascii="Arial" w:hAnsi="Arial" w:cs="Arial"/>
                <w:b/>
                <w:iCs/>
                <w:noProof/>
                <w:lang w:val="sq-AL" w:eastAsia="en-GB"/>
              </w:rPr>
            </w:pPr>
            <w:r w:rsidRPr="001D50E3">
              <w:rPr>
                <w:rFonts w:ascii="Arial" w:hAnsi="Arial" w:cs="Arial"/>
                <w:b/>
                <w:iCs/>
                <w:noProof/>
                <w:lang w:val="sq-AL" w:eastAsia="en-GB"/>
              </w:rPr>
              <w:t xml:space="preserve">Fond </w:t>
            </w:r>
          </w:p>
        </w:tc>
        <w:tc>
          <w:tcPr>
            <w:tcW w:w="1668" w:type="dxa"/>
            <w:tcBorders>
              <w:top w:val="single" w:sz="4" w:space="0" w:color="auto"/>
              <w:left w:val="single" w:sz="4" w:space="0" w:color="auto"/>
              <w:bottom w:val="single" w:sz="4" w:space="0" w:color="auto"/>
              <w:right w:val="single" w:sz="4" w:space="0" w:color="auto"/>
            </w:tcBorders>
            <w:hideMark/>
          </w:tcPr>
          <w:p w:rsidR="00FF2EC0" w:rsidRPr="001D50E3" w:rsidRDefault="00FF2EC0" w:rsidP="00754C28">
            <w:pPr>
              <w:spacing w:line="276" w:lineRule="auto"/>
              <w:jc w:val="both"/>
              <w:rPr>
                <w:rFonts w:ascii="Arial" w:hAnsi="Arial" w:cs="Arial"/>
                <w:b/>
                <w:iCs/>
                <w:noProof/>
                <w:lang w:val="sq-AL" w:eastAsia="en-GB"/>
              </w:rPr>
            </w:pPr>
            <w:r w:rsidRPr="001D50E3">
              <w:rPr>
                <w:rFonts w:ascii="Arial" w:hAnsi="Arial" w:cs="Arial"/>
                <w:b/>
                <w:iCs/>
                <w:noProof/>
                <w:lang w:val="sq-AL" w:eastAsia="en-GB"/>
              </w:rPr>
              <w:t>Objektivi specifik</w:t>
            </w:r>
          </w:p>
        </w:tc>
        <w:tc>
          <w:tcPr>
            <w:tcW w:w="3690" w:type="dxa"/>
            <w:tcBorders>
              <w:top w:val="single" w:sz="4" w:space="0" w:color="auto"/>
              <w:left w:val="single" w:sz="4" w:space="0" w:color="auto"/>
              <w:bottom w:val="single" w:sz="4" w:space="0" w:color="auto"/>
              <w:right w:val="single" w:sz="4" w:space="0" w:color="auto"/>
            </w:tcBorders>
            <w:hideMark/>
          </w:tcPr>
          <w:p w:rsidR="00FF2EC0" w:rsidRPr="001D50E3" w:rsidRDefault="00FF2EC0" w:rsidP="00754C28">
            <w:pPr>
              <w:spacing w:line="276" w:lineRule="auto"/>
              <w:jc w:val="both"/>
              <w:rPr>
                <w:rFonts w:ascii="Arial" w:hAnsi="Arial" w:cs="Arial"/>
                <w:b/>
                <w:iCs/>
                <w:noProof/>
                <w:lang w:val="sq-AL" w:eastAsia="en-GB"/>
              </w:rPr>
            </w:pPr>
            <w:r w:rsidRPr="001D50E3">
              <w:rPr>
                <w:rFonts w:ascii="Arial" w:hAnsi="Arial" w:cs="Arial"/>
                <w:b/>
                <w:iCs/>
                <w:noProof/>
                <w:lang w:val="sq-AL" w:eastAsia="en-GB"/>
              </w:rPr>
              <w:t>Kod</w:t>
            </w:r>
          </w:p>
        </w:tc>
        <w:tc>
          <w:tcPr>
            <w:tcW w:w="1771" w:type="dxa"/>
            <w:tcBorders>
              <w:top w:val="single" w:sz="4" w:space="0" w:color="auto"/>
              <w:left w:val="single" w:sz="4" w:space="0" w:color="auto"/>
              <w:bottom w:val="single" w:sz="4" w:space="0" w:color="auto"/>
              <w:right w:val="single" w:sz="4" w:space="0" w:color="auto"/>
            </w:tcBorders>
            <w:hideMark/>
          </w:tcPr>
          <w:p w:rsidR="00FF2EC0" w:rsidRPr="001D50E3" w:rsidRDefault="00FF2EC0" w:rsidP="00754C28">
            <w:pPr>
              <w:spacing w:line="276" w:lineRule="auto"/>
              <w:jc w:val="both"/>
              <w:rPr>
                <w:rFonts w:ascii="Arial" w:hAnsi="Arial" w:cs="Arial"/>
                <w:b/>
                <w:iCs/>
                <w:noProof/>
                <w:lang w:val="sq-AL" w:eastAsia="en-GB"/>
              </w:rPr>
            </w:pPr>
            <w:r w:rsidRPr="001D50E3">
              <w:rPr>
                <w:rFonts w:ascii="Arial" w:hAnsi="Arial" w:cs="Arial"/>
                <w:b/>
                <w:iCs/>
                <w:noProof/>
                <w:lang w:val="sq-AL" w:eastAsia="en-GB"/>
              </w:rPr>
              <w:t>Shuma</w:t>
            </w:r>
          </w:p>
          <w:p w:rsidR="00FF2EC0" w:rsidRPr="001D50E3" w:rsidRDefault="00FF2EC0" w:rsidP="00754C28">
            <w:pPr>
              <w:spacing w:line="276" w:lineRule="auto"/>
              <w:jc w:val="both"/>
              <w:rPr>
                <w:rFonts w:ascii="Arial" w:hAnsi="Arial" w:cs="Arial"/>
                <w:b/>
                <w:iCs/>
                <w:noProof/>
                <w:lang w:eastAsia="en-GB"/>
              </w:rPr>
            </w:pPr>
            <w:r w:rsidRPr="001D50E3">
              <w:rPr>
                <w:rFonts w:ascii="Arial" w:hAnsi="Arial" w:cs="Arial"/>
                <w:b/>
                <w:iCs/>
                <w:noProof/>
                <w:lang w:eastAsia="en-GB"/>
              </w:rPr>
              <w:t>(Еuro)</w:t>
            </w:r>
          </w:p>
        </w:tc>
      </w:tr>
      <w:tr w:rsidR="00FF2EC0" w:rsidRPr="001D50E3" w:rsidTr="00754C28">
        <w:trPr>
          <w:trHeight w:val="1637"/>
        </w:trPr>
        <w:tc>
          <w:tcPr>
            <w:tcW w:w="1531" w:type="dxa"/>
            <w:tcBorders>
              <w:top w:val="single" w:sz="4" w:space="0" w:color="auto"/>
              <w:left w:val="single" w:sz="4" w:space="0" w:color="auto"/>
              <w:bottom w:val="single" w:sz="4" w:space="0" w:color="auto"/>
              <w:right w:val="single" w:sz="4" w:space="0" w:color="auto"/>
            </w:tcBorders>
            <w:vAlign w:val="center"/>
            <w:hideMark/>
          </w:tcPr>
          <w:p w:rsidR="00FF2EC0" w:rsidRPr="001D50E3" w:rsidRDefault="00FF2EC0" w:rsidP="00754C28">
            <w:pPr>
              <w:spacing w:after="160" w:line="276" w:lineRule="auto"/>
              <w:jc w:val="both"/>
              <w:rPr>
                <w:rFonts w:ascii="Arial" w:hAnsi="Arial" w:cs="Arial"/>
                <w:iCs/>
                <w:noProof/>
                <w:lang w:eastAsia="en-GB"/>
              </w:rPr>
            </w:pPr>
            <w:r w:rsidRPr="001D50E3">
              <w:rPr>
                <w:rFonts w:ascii="Arial" w:hAnsi="Arial" w:cs="Arial"/>
                <w:iCs/>
                <w:noProof/>
                <w:lang w:eastAsia="en-GB"/>
              </w:rPr>
              <w:t>3</w:t>
            </w:r>
          </w:p>
        </w:tc>
        <w:tc>
          <w:tcPr>
            <w:tcW w:w="1263" w:type="dxa"/>
            <w:tcBorders>
              <w:top w:val="single" w:sz="4" w:space="0" w:color="auto"/>
              <w:left w:val="single" w:sz="4" w:space="0" w:color="auto"/>
              <w:bottom w:val="single" w:sz="4" w:space="0" w:color="auto"/>
              <w:right w:val="single" w:sz="4" w:space="0" w:color="auto"/>
            </w:tcBorders>
            <w:vAlign w:val="center"/>
            <w:hideMark/>
          </w:tcPr>
          <w:p w:rsidR="00FF2EC0" w:rsidRPr="001D50E3" w:rsidRDefault="00FF2EC0" w:rsidP="00754C28">
            <w:pPr>
              <w:spacing w:after="160" w:line="276" w:lineRule="auto"/>
              <w:jc w:val="both"/>
              <w:rPr>
                <w:rFonts w:ascii="Arial" w:hAnsi="Arial" w:cs="Arial"/>
                <w:b/>
                <w:iCs/>
                <w:noProof/>
                <w:lang w:val="sq-AL" w:eastAsia="en-GB"/>
              </w:rPr>
            </w:pPr>
            <w:r w:rsidRPr="001D50E3">
              <w:rPr>
                <w:rFonts w:ascii="Arial" w:hAnsi="Arial" w:cs="Arial"/>
                <w:b/>
                <w:iCs/>
                <w:noProof/>
                <w:lang w:val="sq-AL" w:eastAsia="en-GB"/>
              </w:rPr>
              <w:t>Fondet e Unionit (ERDF dhe IPA)</w:t>
            </w:r>
          </w:p>
        </w:tc>
        <w:tc>
          <w:tcPr>
            <w:tcW w:w="1668" w:type="dxa"/>
            <w:tcBorders>
              <w:top w:val="single" w:sz="4" w:space="0" w:color="auto"/>
              <w:left w:val="single" w:sz="4" w:space="0" w:color="auto"/>
              <w:bottom w:val="single" w:sz="4" w:space="0" w:color="auto"/>
              <w:right w:val="single" w:sz="4" w:space="0" w:color="auto"/>
            </w:tcBorders>
            <w:vAlign w:val="center"/>
            <w:hideMark/>
          </w:tcPr>
          <w:p w:rsidR="00FF2EC0" w:rsidRPr="001D50E3" w:rsidRDefault="00FF2EC0" w:rsidP="00754C28">
            <w:pPr>
              <w:spacing w:after="160" w:line="276" w:lineRule="auto"/>
              <w:jc w:val="both"/>
              <w:rPr>
                <w:rFonts w:ascii="Arial" w:hAnsi="Arial" w:cs="Arial"/>
                <w:b/>
                <w:iCs/>
                <w:noProof/>
                <w:lang w:eastAsia="en-GB"/>
              </w:rPr>
            </w:pPr>
            <w:r w:rsidRPr="001D50E3">
              <w:rPr>
                <w:rFonts w:ascii="Arial" w:hAnsi="Arial" w:cs="Arial"/>
                <w:b/>
                <w:iCs/>
                <w:noProof/>
                <w:lang w:eastAsia="en-GB"/>
              </w:rPr>
              <w:t>3.1</w:t>
            </w:r>
          </w:p>
        </w:tc>
        <w:tc>
          <w:tcPr>
            <w:tcW w:w="3690" w:type="dxa"/>
            <w:tcBorders>
              <w:top w:val="single" w:sz="4" w:space="0" w:color="auto"/>
              <w:left w:val="single" w:sz="4" w:space="0" w:color="auto"/>
              <w:bottom w:val="single" w:sz="4" w:space="0" w:color="auto"/>
              <w:right w:val="single" w:sz="4" w:space="0" w:color="auto"/>
            </w:tcBorders>
            <w:hideMark/>
          </w:tcPr>
          <w:p w:rsidR="00FF2EC0" w:rsidRPr="001D50E3" w:rsidRDefault="00FF2EC0" w:rsidP="00754C28">
            <w:pPr>
              <w:spacing w:after="160" w:line="276" w:lineRule="auto"/>
              <w:jc w:val="both"/>
              <w:rPr>
                <w:rFonts w:ascii="Arial" w:hAnsi="Arial" w:cs="Arial"/>
                <w:lang w:val="mk-MK"/>
              </w:rPr>
            </w:pPr>
            <w:r w:rsidRPr="001D50E3">
              <w:rPr>
                <w:rFonts w:ascii="Arial" w:hAnsi="Arial" w:cs="Arial"/>
              </w:rPr>
              <w:t>021 Zhvillimi dhe ndërkombëtarizimi i biznesit të ndërmarrjeve të vogla dhe të mesme, duke përfshirë investimet produktive</w:t>
            </w:r>
          </w:p>
        </w:tc>
        <w:tc>
          <w:tcPr>
            <w:tcW w:w="1771" w:type="dxa"/>
            <w:tcBorders>
              <w:top w:val="single" w:sz="4" w:space="0" w:color="auto"/>
              <w:left w:val="single" w:sz="4" w:space="0" w:color="auto"/>
              <w:bottom w:val="single" w:sz="4" w:space="0" w:color="auto"/>
              <w:right w:val="single" w:sz="4" w:space="0" w:color="auto"/>
            </w:tcBorders>
          </w:tcPr>
          <w:p w:rsidR="00FF2EC0" w:rsidRPr="001D50E3" w:rsidRDefault="00FF2EC0" w:rsidP="00754C28">
            <w:pPr>
              <w:spacing w:line="276" w:lineRule="auto"/>
              <w:jc w:val="both"/>
              <w:rPr>
                <w:rFonts w:ascii="Arial" w:eastAsia="Times New Roman" w:hAnsi="Arial" w:cs="Arial"/>
                <w:b/>
                <w:iCs/>
                <w:noProof/>
                <w:lang w:val="en-US" w:eastAsia="en-GB"/>
              </w:rPr>
            </w:pPr>
            <w:r w:rsidRPr="001D50E3">
              <w:rPr>
                <w:rFonts w:ascii="Arial" w:eastAsia="Times New Roman" w:hAnsi="Arial" w:cs="Arial"/>
                <w:b/>
                <w:iCs/>
                <w:noProof/>
                <w:lang w:eastAsia="en-GB"/>
              </w:rPr>
              <w:t>1 203 615,46</w:t>
            </w:r>
          </w:p>
          <w:p w:rsidR="00FF2EC0" w:rsidRPr="001D50E3" w:rsidRDefault="00FF2EC0" w:rsidP="00754C28">
            <w:pPr>
              <w:spacing w:after="160" w:line="276" w:lineRule="auto"/>
              <w:jc w:val="both"/>
              <w:rPr>
                <w:rFonts w:ascii="Arial" w:eastAsia="Times New Roman" w:hAnsi="Arial" w:cs="Arial"/>
                <w:b/>
                <w:iCs/>
                <w:noProof/>
                <w:lang w:eastAsia="en-GB"/>
              </w:rPr>
            </w:pPr>
          </w:p>
        </w:tc>
      </w:tr>
      <w:tr w:rsidR="00FF2EC0" w:rsidRPr="001D50E3" w:rsidTr="00754C28">
        <w:tc>
          <w:tcPr>
            <w:tcW w:w="1531" w:type="dxa"/>
            <w:tcBorders>
              <w:top w:val="single" w:sz="4" w:space="0" w:color="auto"/>
              <w:left w:val="single" w:sz="4" w:space="0" w:color="auto"/>
              <w:bottom w:val="single" w:sz="4" w:space="0" w:color="auto"/>
              <w:right w:val="single" w:sz="4" w:space="0" w:color="auto"/>
            </w:tcBorders>
            <w:hideMark/>
          </w:tcPr>
          <w:p w:rsidR="00FF2EC0" w:rsidRPr="001D50E3" w:rsidRDefault="00FF2EC0" w:rsidP="00754C28">
            <w:pPr>
              <w:spacing w:after="160" w:line="276" w:lineRule="auto"/>
              <w:jc w:val="both"/>
              <w:rPr>
                <w:rFonts w:ascii="Arial" w:hAnsi="Arial" w:cs="Arial"/>
                <w:iCs/>
                <w:noProof/>
                <w:lang w:eastAsia="en-GB"/>
              </w:rPr>
            </w:pPr>
            <w:r w:rsidRPr="001D50E3">
              <w:rPr>
                <w:rFonts w:ascii="Arial" w:hAnsi="Arial" w:cs="Arial"/>
                <w:iCs/>
                <w:noProof/>
                <w:lang w:eastAsia="en-GB"/>
              </w:rPr>
              <w:t>3</w:t>
            </w:r>
          </w:p>
        </w:tc>
        <w:tc>
          <w:tcPr>
            <w:tcW w:w="1263" w:type="dxa"/>
            <w:tcBorders>
              <w:top w:val="single" w:sz="4" w:space="0" w:color="auto"/>
              <w:left w:val="single" w:sz="4" w:space="0" w:color="auto"/>
              <w:bottom w:val="single" w:sz="4" w:space="0" w:color="auto"/>
              <w:right w:val="single" w:sz="4" w:space="0" w:color="auto"/>
            </w:tcBorders>
            <w:vAlign w:val="center"/>
            <w:hideMark/>
          </w:tcPr>
          <w:p w:rsidR="00FF2EC0" w:rsidRPr="001D50E3" w:rsidRDefault="00FF2EC0" w:rsidP="00754C28">
            <w:pPr>
              <w:spacing w:after="160" w:line="276" w:lineRule="auto"/>
              <w:jc w:val="both"/>
              <w:rPr>
                <w:rFonts w:ascii="Arial" w:hAnsi="Arial" w:cs="Arial"/>
                <w:b/>
                <w:iCs/>
                <w:noProof/>
                <w:lang w:eastAsia="en-GB"/>
              </w:rPr>
            </w:pPr>
            <w:r w:rsidRPr="001D50E3">
              <w:rPr>
                <w:rFonts w:ascii="Arial" w:hAnsi="Arial" w:cs="Arial"/>
                <w:b/>
                <w:iCs/>
                <w:noProof/>
                <w:lang w:eastAsia="en-GB"/>
              </w:rPr>
              <w:t>Fondet e Unionit (ERDF dhe IPA</w:t>
            </w:r>
          </w:p>
        </w:tc>
        <w:tc>
          <w:tcPr>
            <w:tcW w:w="1668" w:type="dxa"/>
            <w:tcBorders>
              <w:top w:val="single" w:sz="4" w:space="0" w:color="auto"/>
              <w:left w:val="single" w:sz="4" w:space="0" w:color="auto"/>
              <w:bottom w:val="single" w:sz="4" w:space="0" w:color="auto"/>
              <w:right w:val="single" w:sz="4" w:space="0" w:color="auto"/>
            </w:tcBorders>
            <w:hideMark/>
          </w:tcPr>
          <w:p w:rsidR="00FF2EC0" w:rsidRPr="001D50E3" w:rsidRDefault="00FF2EC0" w:rsidP="00754C28">
            <w:pPr>
              <w:spacing w:after="160" w:line="276" w:lineRule="auto"/>
              <w:jc w:val="both"/>
              <w:rPr>
                <w:rFonts w:ascii="Arial" w:hAnsi="Arial" w:cs="Arial"/>
                <w:b/>
                <w:iCs/>
                <w:noProof/>
                <w:lang w:eastAsia="en-GB"/>
              </w:rPr>
            </w:pPr>
            <w:r w:rsidRPr="001D50E3">
              <w:rPr>
                <w:rFonts w:ascii="Arial" w:hAnsi="Arial" w:cs="Arial"/>
                <w:b/>
                <w:iCs/>
                <w:noProof/>
                <w:lang w:eastAsia="en-GB"/>
              </w:rPr>
              <w:t>3.1</w:t>
            </w:r>
          </w:p>
        </w:tc>
        <w:tc>
          <w:tcPr>
            <w:tcW w:w="3690" w:type="dxa"/>
            <w:tcBorders>
              <w:top w:val="single" w:sz="4" w:space="0" w:color="auto"/>
              <w:left w:val="single" w:sz="4" w:space="0" w:color="auto"/>
              <w:bottom w:val="single" w:sz="4" w:space="0" w:color="auto"/>
              <w:right w:val="single" w:sz="4" w:space="0" w:color="auto"/>
            </w:tcBorders>
            <w:hideMark/>
          </w:tcPr>
          <w:p w:rsidR="00FF2EC0" w:rsidRPr="001D50E3" w:rsidRDefault="00FF2EC0" w:rsidP="00754C28">
            <w:pPr>
              <w:spacing w:after="160" w:line="276" w:lineRule="auto"/>
              <w:jc w:val="both"/>
              <w:rPr>
                <w:rFonts w:ascii="Arial" w:hAnsi="Arial" w:cs="Arial"/>
                <w:lang w:val="mk-MK"/>
              </w:rPr>
            </w:pPr>
            <w:r w:rsidRPr="001D50E3">
              <w:rPr>
                <w:rFonts w:ascii="Arial" w:hAnsi="Arial" w:cs="Arial"/>
              </w:rPr>
              <w:t xml:space="preserve">024 Shërbime të avancuara </w:t>
            </w:r>
            <w:r w:rsidRPr="001D50E3">
              <w:rPr>
                <w:rFonts w:ascii="Arial" w:hAnsi="Arial" w:cs="Arial"/>
                <w:lang w:val="sq-AL"/>
              </w:rPr>
              <w:t>p</w:t>
            </w:r>
            <w:r w:rsidRPr="001D50E3">
              <w:rPr>
                <w:rFonts w:ascii="Arial" w:hAnsi="Arial" w:cs="Arial"/>
              </w:rPr>
              <w:t>ë</w:t>
            </w:r>
            <w:r w:rsidRPr="001D50E3">
              <w:rPr>
                <w:rFonts w:ascii="Arial" w:hAnsi="Arial" w:cs="Arial"/>
                <w:lang w:val="sq-AL"/>
              </w:rPr>
              <w:t>r</w:t>
            </w:r>
            <w:r w:rsidRPr="001D50E3">
              <w:rPr>
                <w:rFonts w:ascii="Arial" w:hAnsi="Arial" w:cs="Arial"/>
              </w:rPr>
              <w:t xml:space="preserve"> mbështetje </w:t>
            </w:r>
            <w:r w:rsidRPr="001D50E3">
              <w:rPr>
                <w:rFonts w:ascii="Arial" w:hAnsi="Arial" w:cs="Arial"/>
                <w:lang w:val="sq-AL"/>
              </w:rPr>
              <w:t>t</w:t>
            </w:r>
            <w:r w:rsidRPr="001D50E3">
              <w:rPr>
                <w:rFonts w:ascii="Arial" w:hAnsi="Arial" w:cs="Arial"/>
              </w:rPr>
              <w:t>ë SME-ve dhe grupeve të SME-ve (përfshirë shërbimet e menaxhimit, marketingut dhe dizajnit)</w:t>
            </w:r>
          </w:p>
        </w:tc>
        <w:tc>
          <w:tcPr>
            <w:tcW w:w="1771" w:type="dxa"/>
            <w:tcBorders>
              <w:top w:val="single" w:sz="4" w:space="0" w:color="auto"/>
              <w:left w:val="single" w:sz="4" w:space="0" w:color="auto"/>
              <w:bottom w:val="single" w:sz="4" w:space="0" w:color="auto"/>
              <w:right w:val="single" w:sz="4" w:space="0" w:color="auto"/>
            </w:tcBorders>
            <w:hideMark/>
          </w:tcPr>
          <w:p w:rsidR="00FF2EC0" w:rsidRPr="001D50E3" w:rsidRDefault="00FF2EC0" w:rsidP="00754C28">
            <w:pPr>
              <w:spacing w:after="160" w:line="276" w:lineRule="auto"/>
              <w:jc w:val="both"/>
              <w:rPr>
                <w:rFonts w:ascii="Arial" w:eastAsia="Times New Roman" w:hAnsi="Arial" w:cs="Arial"/>
                <w:b/>
                <w:iCs/>
                <w:noProof/>
                <w:lang w:eastAsia="en-GB"/>
              </w:rPr>
            </w:pPr>
            <w:r w:rsidRPr="001D50E3">
              <w:rPr>
                <w:rFonts w:ascii="Arial" w:eastAsia="Times New Roman" w:hAnsi="Arial" w:cs="Arial"/>
                <w:b/>
                <w:iCs/>
                <w:noProof/>
                <w:lang w:eastAsia="en-GB"/>
              </w:rPr>
              <w:t>1 203 615,46</w:t>
            </w:r>
          </w:p>
        </w:tc>
      </w:tr>
      <w:tr w:rsidR="00FF2EC0" w:rsidRPr="001D50E3" w:rsidTr="00754C28">
        <w:tc>
          <w:tcPr>
            <w:tcW w:w="1531" w:type="dxa"/>
            <w:tcBorders>
              <w:top w:val="single" w:sz="4" w:space="0" w:color="auto"/>
              <w:left w:val="single" w:sz="4" w:space="0" w:color="auto"/>
              <w:bottom w:val="single" w:sz="4" w:space="0" w:color="auto"/>
              <w:right w:val="single" w:sz="4" w:space="0" w:color="auto"/>
            </w:tcBorders>
            <w:hideMark/>
          </w:tcPr>
          <w:p w:rsidR="00FF2EC0" w:rsidRPr="001D50E3" w:rsidRDefault="00FF2EC0" w:rsidP="00754C28">
            <w:pPr>
              <w:spacing w:after="160" w:line="276" w:lineRule="auto"/>
              <w:jc w:val="both"/>
              <w:rPr>
                <w:rFonts w:ascii="Arial" w:hAnsi="Arial" w:cs="Arial"/>
                <w:iCs/>
                <w:noProof/>
                <w:lang w:eastAsia="en-GB"/>
              </w:rPr>
            </w:pPr>
            <w:r w:rsidRPr="001D50E3">
              <w:rPr>
                <w:rFonts w:ascii="Arial" w:hAnsi="Arial" w:cs="Arial"/>
                <w:iCs/>
                <w:noProof/>
                <w:lang w:eastAsia="en-GB"/>
              </w:rPr>
              <w:t>3</w:t>
            </w:r>
          </w:p>
        </w:tc>
        <w:tc>
          <w:tcPr>
            <w:tcW w:w="1263" w:type="dxa"/>
            <w:tcBorders>
              <w:top w:val="single" w:sz="4" w:space="0" w:color="auto"/>
              <w:left w:val="single" w:sz="4" w:space="0" w:color="auto"/>
              <w:bottom w:val="single" w:sz="4" w:space="0" w:color="auto"/>
              <w:right w:val="single" w:sz="4" w:space="0" w:color="auto"/>
            </w:tcBorders>
            <w:vAlign w:val="center"/>
            <w:hideMark/>
          </w:tcPr>
          <w:p w:rsidR="00FF2EC0" w:rsidRPr="001D50E3" w:rsidRDefault="00FF2EC0" w:rsidP="00754C28">
            <w:pPr>
              <w:spacing w:after="160" w:line="276" w:lineRule="auto"/>
              <w:jc w:val="both"/>
              <w:rPr>
                <w:rFonts w:ascii="Arial" w:hAnsi="Arial" w:cs="Arial"/>
                <w:b/>
                <w:iCs/>
                <w:noProof/>
                <w:lang w:val="sq-AL" w:eastAsia="en-GB"/>
              </w:rPr>
            </w:pPr>
            <w:r w:rsidRPr="001D50E3">
              <w:rPr>
                <w:rFonts w:ascii="Arial" w:hAnsi="Arial" w:cs="Arial"/>
                <w:b/>
                <w:iCs/>
                <w:noProof/>
                <w:lang w:val="sq-AL" w:eastAsia="en-GB"/>
              </w:rPr>
              <w:t>Fondet e Unionit (ERDF dhe IPA)</w:t>
            </w:r>
          </w:p>
        </w:tc>
        <w:tc>
          <w:tcPr>
            <w:tcW w:w="1668" w:type="dxa"/>
            <w:tcBorders>
              <w:top w:val="single" w:sz="4" w:space="0" w:color="auto"/>
              <w:left w:val="single" w:sz="4" w:space="0" w:color="auto"/>
              <w:bottom w:val="single" w:sz="4" w:space="0" w:color="auto"/>
              <w:right w:val="single" w:sz="4" w:space="0" w:color="auto"/>
            </w:tcBorders>
            <w:hideMark/>
          </w:tcPr>
          <w:p w:rsidR="00FF2EC0" w:rsidRPr="001D50E3" w:rsidRDefault="00FF2EC0" w:rsidP="00754C28">
            <w:pPr>
              <w:spacing w:after="160" w:line="276" w:lineRule="auto"/>
              <w:jc w:val="both"/>
              <w:rPr>
                <w:rFonts w:ascii="Arial" w:hAnsi="Arial" w:cs="Arial"/>
                <w:b/>
                <w:iCs/>
                <w:noProof/>
                <w:lang w:eastAsia="en-GB"/>
              </w:rPr>
            </w:pPr>
            <w:r w:rsidRPr="001D50E3">
              <w:rPr>
                <w:rFonts w:ascii="Arial" w:hAnsi="Arial" w:cs="Arial"/>
                <w:b/>
                <w:iCs/>
                <w:noProof/>
                <w:lang w:eastAsia="en-GB"/>
              </w:rPr>
              <w:t>3.1</w:t>
            </w:r>
          </w:p>
        </w:tc>
        <w:tc>
          <w:tcPr>
            <w:tcW w:w="3690" w:type="dxa"/>
            <w:tcBorders>
              <w:top w:val="single" w:sz="4" w:space="0" w:color="auto"/>
              <w:left w:val="single" w:sz="4" w:space="0" w:color="auto"/>
              <w:bottom w:val="single" w:sz="4" w:space="0" w:color="auto"/>
              <w:right w:val="single" w:sz="4" w:space="0" w:color="auto"/>
            </w:tcBorders>
            <w:hideMark/>
          </w:tcPr>
          <w:p w:rsidR="00FF2EC0" w:rsidRPr="001D50E3" w:rsidRDefault="00FF2EC0" w:rsidP="00754C28">
            <w:pPr>
              <w:spacing w:after="160" w:line="276" w:lineRule="auto"/>
              <w:jc w:val="both"/>
              <w:rPr>
                <w:rFonts w:ascii="Arial" w:hAnsi="Arial" w:cs="Arial"/>
                <w:lang w:val="mk-MK"/>
              </w:rPr>
            </w:pPr>
            <w:r w:rsidRPr="001D50E3">
              <w:rPr>
                <w:rFonts w:ascii="Arial" w:hAnsi="Arial" w:cs="Arial"/>
              </w:rPr>
              <w:t>165</w:t>
            </w:r>
            <w:r w:rsidRPr="001D50E3">
              <w:rPr>
                <w:rFonts w:ascii="Arial" w:hAnsi="Arial" w:cs="Arial"/>
                <w:lang w:val="mk-MK"/>
              </w:rPr>
              <w:t xml:space="preserve"> Mbrojtja, zhvillimi dhe promovimi i aseteve publike turistike dhe shërbimeve turistike</w:t>
            </w:r>
          </w:p>
        </w:tc>
        <w:tc>
          <w:tcPr>
            <w:tcW w:w="1771" w:type="dxa"/>
            <w:tcBorders>
              <w:top w:val="single" w:sz="4" w:space="0" w:color="auto"/>
              <w:left w:val="single" w:sz="4" w:space="0" w:color="auto"/>
              <w:bottom w:val="single" w:sz="4" w:space="0" w:color="auto"/>
              <w:right w:val="single" w:sz="4" w:space="0" w:color="auto"/>
            </w:tcBorders>
            <w:hideMark/>
          </w:tcPr>
          <w:p w:rsidR="00FF2EC0" w:rsidRPr="001D50E3" w:rsidRDefault="00FF2EC0" w:rsidP="00754C28">
            <w:pPr>
              <w:spacing w:after="160" w:line="276" w:lineRule="auto"/>
              <w:jc w:val="both"/>
              <w:rPr>
                <w:rFonts w:ascii="Arial" w:eastAsia="Times New Roman" w:hAnsi="Arial" w:cs="Arial"/>
                <w:b/>
                <w:iCs/>
                <w:noProof/>
                <w:lang w:eastAsia="en-GB"/>
              </w:rPr>
            </w:pPr>
            <w:r w:rsidRPr="001D50E3">
              <w:rPr>
                <w:rFonts w:ascii="Arial" w:eastAsia="Times New Roman" w:hAnsi="Arial" w:cs="Arial"/>
                <w:b/>
                <w:iCs/>
                <w:noProof/>
                <w:lang w:eastAsia="en-GB"/>
              </w:rPr>
              <w:t>3 209 641,21</w:t>
            </w:r>
          </w:p>
        </w:tc>
      </w:tr>
      <w:tr w:rsidR="00FF2EC0" w:rsidRPr="001D50E3" w:rsidTr="00754C28">
        <w:tc>
          <w:tcPr>
            <w:tcW w:w="1531" w:type="dxa"/>
            <w:tcBorders>
              <w:top w:val="single" w:sz="4" w:space="0" w:color="auto"/>
              <w:left w:val="single" w:sz="4" w:space="0" w:color="auto"/>
              <w:bottom w:val="single" w:sz="4" w:space="0" w:color="auto"/>
              <w:right w:val="single" w:sz="4" w:space="0" w:color="auto"/>
            </w:tcBorders>
            <w:hideMark/>
          </w:tcPr>
          <w:p w:rsidR="00FF2EC0" w:rsidRPr="001D50E3" w:rsidRDefault="00FF2EC0" w:rsidP="00754C28">
            <w:pPr>
              <w:spacing w:line="276" w:lineRule="auto"/>
              <w:jc w:val="both"/>
              <w:rPr>
                <w:rFonts w:ascii="Arial" w:hAnsi="Arial" w:cs="Arial"/>
                <w:iCs/>
                <w:noProof/>
                <w:lang w:eastAsia="en-GB"/>
              </w:rPr>
            </w:pPr>
            <w:r w:rsidRPr="001D50E3">
              <w:rPr>
                <w:rFonts w:ascii="Arial" w:hAnsi="Arial" w:cs="Arial"/>
                <w:iCs/>
                <w:noProof/>
                <w:lang w:eastAsia="en-GB"/>
              </w:rPr>
              <w:t>3</w:t>
            </w:r>
          </w:p>
        </w:tc>
        <w:tc>
          <w:tcPr>
            <w:tcW w:w="1263" w:type="dxa"/>
            <w:tcBorders>
              <w:top w:val="single" w:sz="4" w:space="0" w:color="auto"/>
              <w:left w:val="single" w:sz="4" w:space="0" w:color="auto"/>
              <w:bottom w:val="single" w:sz="4" w:space="0" w:color="auto"/>
              <w:right w:val="single" w:sz="4" w:space="0" w:color="auto"/>
            </w:tcBorders>
            <w:vAlign w:val="center"/>
            <w:hideMark/>
          </w:tcPr>
          <w:p w:rsidR="00FF2EC0" w:rsidRPr="001D50E3" w:rsidRDefault="00FF2EC0" w:rsidP="00754C28">
            <w:pPr>
              <w:spacing w:line="276" w:lineRule="auto"/>
              <w:jc w:val="both"/>
              <w:rPr>
                <w:rFonts w:ascii="Arial" w:hAnsi="Arial" w:cs="Arial"/>
                <w:lang w:val="sq-AL"/>
              </w:rPr>
            </w:pPr>
            <w:r w:rsidRPr="001D50E3">
              <w:rPr>
                <w:rFonts w:ascii="Arial" w:hAnsi="Arial" w:cs="Arial"/>
              </w:rPr>
              <w:t>Fondet e Unionit (ERDF dhe IPA</w:t>
            </w:r>
            <w:r w:rsidRPr="001D50E3">
              <w:rPr>
                <w:rFonts w:ascii="Arial" w:hAnsi="Arial" w:cs="Arial"/>
                <w:lang w:val="sq-AL"/>
              </w:rPr>
              <w:t>)</w:t>
            </w:r>
          </w:p>
        </w:tc>
        <w:tc>
          <w:tcPr>
            <w:tcW w:w="1668" w:type="dxa"/>
            <w:tcBorders>
              <w:top w:val="single" w:sz="4" w:space="0" w:color="auto"/>
              <w:left w:val="single" w:sz="4" w:space="0" w:color="auto"/>
              <w:bottom w:val="single" w:sz="4" w:space="0" w:color="auto"/>
              <w:right w:val="single" w:sz="4" w:space="0" w:color="auto"/>
            </w:tcBorders>
            <w:hideMark/>
          </w:tcPr>
          <w:p w:rsidR="00FF2EC0" w:rsidRPr="001D50E3" w:rsidRDefault="00FF2EC0" w:rsidP="00754C28">
            <w:pPr>
              <w:spacing w:line="276" w:lineRule="auto"/>
              <w:jc w:val="both"/>
              <w:rPr>
                <w:rFonts w:ascii="Arial" w:hAnsi="Arial" w:cs="Arial"/>
                <w:b/>
                <w:iCs/>
                <w:noProof/>
                <w:lang w:eastAsia="en-GB"/>
              </w:rPr>
            </w:pPr>
            <w:r w:rsidRPr="001D50E3">
              <w:rPr>
                <w:rFonts w:ascii="Arial" w:hAnsi="Arial" w:cs="Arial"/>
                <w:b/>
                <w:iCs/>
                <w:noProof/>
                <w:lang w:eastAsia="en-GB"/>
              </w:rPr>
              <w:t>3.1</w:t>
            </w:r>
          </w:p>
        </w:tc>
        <w:tc>
          <w:tcPr>
            <w:tcW w:w="3690" w:type="dxa"/>
            <w:tcBorders>
              <w:top w:val="single" w:sz="4" w:space="0" w:color="auto"/>
              <w:left w:val="single" w:sz="4" w:space="0" w:color="auto"/>
              <w:bottom w:val="single" w:sz="4" w:space="0" w:color="auto"/>
              <w:right w:val="nil"/>
            </w:tcBorders>
            <w:hideMark/>
          </w:tcPr>
          <w:p w:rsidR="00FF2EC0" w:rsidRPr="001D50E3" w:rsidRDefault="00FF2EC0" w:rsidP="00754C28">
            <w:pPr>
              <w:spacing w:after="160" w:line="276" w:lineRule="auto"/>
              <w:jc w:val="both"/>
              <w:rPr>
                <w:rFonts w:ascii="Arial" w:hAnsi="Arial" w:cs="Arial"/>
                <w:lang w:val="mk-MK"/>
              </w:rPr>
            </w:pPr>
            <w:r w:rsidRPr="001D50E3">
              <w:rPr>
                <w:rFonts w:ascii="Arial" w:hAnsi="Arial" w:cs="Arial"/>
              </w:rPr>
              <w:t>166 Mbrojtja, zhvillimi dhe promovimi i trashëgimisë kulturore dhe shërbimeve kulturore</w:t>
            </w:r>
          </w:p>
        </w:tc>
        <w:tc>
          <w:tcPr>
            <w:tcW w:w="1771" w:type="dxa"/>
            <w:tcBorders>
              <w:top w:val="single" w:sz="4" w:space="0" w:color="auto"/>
              <w:left w:val="single" w:sz="4" w:space="0" w:color="auto"/>
              <w:bottom w:val="single" w:sz="4" w:space="0" w:color="auto"/>
              <w:right w:val="single" w:sz="4" w:space="0" w:color="auto"/>
            </w:tcBorders>
            <w:hideMark/>
          </w:tcPr>
          <w:p w:rsidR="00FF2EC0" w:rsidRPr="001D50E3" w:rsidRDefault="00FF2EC0" w:rsidP="00754C28">
            <w:pPr>
              <w:spacing w:after="160" w:line="276" w:lineRule="auto"/>
              <w:jc w:val="both"/>
              <w:rPr>
                <w:rFonts w:ascii="Arial" w:eastAsia="Times New Roman" w:hAnsi="Arial" w:cs="Arial"/>
                <w:b/>
                <w:iCs/>
                <w:noProof/>
                <w:lang w:eastAsia="en-GB"/>
              </w:rPr>
            </w:pPr>
            <w:r w:rsidRPr="001D50E3">
              <w:rPr>
                <w:rFonts w:ascii="Arial" w:eastAsia="Times New Roman" w:hAnsi="Arial" w:cs="Arial"/>
                <w:b/>
                <w:iCs/>
                <w:noProof/>
                <w:lang w:eastAsia="en-GB"/>
              </w:rPr>
              <w:t>3 209 641,21</w:t>
            </w:r>
          </w:p>
        </w:tc>
      </w:tr>
      <w:tr w:rsidR="00FF2EC0" w:rsidRPr="001D50E3" w:rsidTr="00754C28">
        <w:tc>
          <w:tcPr>
            <w:tcW w:w="1531" w:type="dxa"/>
            <w:tcBorders>
              <w:top w:val="single" w:sz="4" w:space="0" w:color="auto"/>
              <w:left w:val="single" w:sz="4" w:space="0" w:color="auto"/>
              <w:bottom w:val="single" w:sz="4" w:space="0" w:color="auto"/>
              <w:right w:val="single" w:sz="4" w:space="0" w:color="auto"/>
            </w:tcBorders>
            <w:hideMark/>
          </w:tcPr>
          <w:p w:rsidR="00FF2EC0" w:rsidRPr="001D50E3" w:rsidRDefault="00FF2EC0" w:rsidP="00754C28">
            <w:pPr>
              <w:spacing w:line="276" w:lineRule="auto"/>
              <w:jc w:val="both"/>
              <w:rPr>
                <w:rFonts w:ascii="Arial" w:hAnsi="Arial" w:cs="Arial"/>
                <w:iCs/>
                <w:noProof/>
                <w:lang w:eastAsia="en-GB"/>
              </w:rPr>
            </w:pPr>
            <w:r w:rsidRPr="001D50E3">
              <w:rPr>
                <w:rFonts w:ascii="Arial" w:hAnsi="Arial" w:cs="Arial"/>
                <w:iCs/>
                <w:noProof/>
                <w:lang w:eastAsia="en-GB"/>
              </w:rPr>
              <w:t>3</w:t>
            </w:r>
          </w:p>
        </w:tc>
        <w:tc>
          <w:tcPr>
            <w:tcW w:w="1263" w:type="dxa"/>
            <w:tcBorders>
              <w:top w:val="single" w:sz="4" w:space="0" w:color="auto"/>
              <w:left w:val="single" w:sz="4" w:space="0" w:color="auto"/>
              <w:bottom w:val="single" w:sz="4" w:space="0" w:color="auto"/>
              <w:right w:val="single" w:sz="4" w:space="0" w:color="auto"/>
            </w:tcBorders>
            <w:vAlign w:val="center"/>
            <w:hideMark/>
          </w:tcPr>
          <w:p w:rsidR="00FF2EC0" w:rsidRPr="001D50E3" w:rsidRDefault="00FF2EC0" w:rsidP="00754C28">
            <w:pPr>
              <w:spacing w:line="276" w:lineRule="auto"/>
              <w:jc w:val="both"/>
              <w:rPr>
                <w:rFonts w:ascii="Arial" w:hAnsi="Arial" w:cs="Arial"/>
                <w:lang w:val="sq-AL"/>
              </w:rPr>
            </w:pPr>
            <w:r w:rsidRPr="001D50E3">
              <w:rPr>
                <w:rFonts w:ascii="Arial" w:hAnsi="Arial" w:cs="Arial"/>
              </w:rPr>
              <w:t>Fondet e Unionit (ERDF dhe IPA</w:t>
            </w:r>
            <w:r w:rsidRPr="001D50E3">
              <w:rPr>
                <w:rFonts w:ascii="Arial" w:hAnsi="Arial" w:cs="Arial"/>
                <w:lang w:val="sq-AL"/>
              </w:rPr>
              <w:t>)</w:t>
            </w:r>
          </w:p>
        </w:tc>
        <w:tc>
          <w:tcPr>
            <w:tcW w:w="1668" w:type="dxa"/>
            <w:tcBorders>
              <w:top w:val="single" w:sz="4" w:space="0" w:color="auto"/>
              <w:left w:val="single" w:sz="4" w:space="0" w:color="auto"/>
              <w:bottom w:val="single" w:sz="4" w:space="0" w:color="auto"/>
              <w:right w:val="single" w:sz="4" w:space="0" w:color="auto"/>
            </w:tcBorders>
            <w:hideMark/>
          </w:tcPr>
          <w:p w:rsidR="00FF2EC0" w:rsidRPr="001D50E3" w:rsidRDefault="00FF2EC0" w:rsidP="00754C28">
            <w:pPr>
              <w:spacing w:line="276" w:lineRule="auto"/>
              <w:jc w:val="both"/>
              <w:rPr>
                <w:rFonts w:ascii="Arial" w:hAnsi="Arial" w:cs="Arial"/>
                <w:b/>
                <w:iCs/>
                <w:noProof/>
                <w:lang w:eastAsia="en-GB"/>
              </w:rPr>
            </w:pPr>
            <w:r w:rsidRPr="001D50E3">
              <w:rPr>
                <w:rFonts w:ascii="Arial" w:hAnsi="Arial" w:cs="Arial"/>
                <w:b/>
                <w:iCs/>
                <w:noProof/>
                <w:lang w:eastAsia="en-GB"/>
              </w:rPr>
              <w:t>3.1</w:t>
            </w:r>
          </w:p>
        </w:tc>
        <w:tc>
          <w:tcPr>
            <w:tcW w:w="3690" w:type="dxa"/>
            <w:tcBorders>
              <w:top w:val="single" w:sz="4" w:space="0" w:color="auto"/>
              <w:left w:val="single" w:sz="4" w:space="0" w:color="auto"/>
              <w:bottom w:val="single" w:sz="4" w:space="0" w:color="auto"/>
              <w:right w:val="nil"/>
            </w:tcBorders>
            <w:shd w:val="clear" w:color="auto" w:fill="FFFFFF"/>
            <w:hideMark/>
          </w:tcPr>
          <w:p w:rsidR="00FF2EC0" w:rsidRPr="001D50E3" w:rsidRDefault="00FF2EC0" w:rsidP="00754C28">
            <w:pPr>
              <w:spacing w:after="160" w:line="276" w:lineRule="auto"/>
              <w:jc w:val="both"/>
              <w:rPr>
                <w:rFonts w:ascii="Arial" w:hAnsi="Arial" w:cs="Arial"/>
                <w:lang w:val="en-US"/>
              </w:rPr>
            </w:pPr>
            <w:r w:rsidRPr="001D50E3">
              <w:rPr>
                <w:rFonts w:ascii="Arial" w:hAnsi="Arial" w:cs="Arial"/>
              </w:rPr>
              <w:t>171 Përmirësimi i bashkëpunimit me partnerët brenda dhe jashtë Shtetit Anëtar</w:t>
            </w:r>
          </w:p>
        </w:tc>
        <w:tc>
          <w:tcPr>
            <w:tcW w:w="1771" w:type="dxa"/>
            <w:tcBorders>
              <w:top w:val="single" w:sz="4" w:space="0" w:color="auto"/>
              <w:left w:val="single" w:sz="4" w:space="0" w:color="auto"/>
              <w:bottom w:val="single" w:sz="4" w:space="0" w:color="auto"/>
              <w:right w:val="single" w:sz="4" w:space="0" w:color="auto"/>
            </w:tcBorders>
            <w:hideMark/>
          </w:tcPr>
          <w:p w:rsidR="00FF2EC0" w:rsidRPr="001D50E3" w:rsidRDefault="00FF2EC0" w:rsidP="00754C28">
            <w:pPr>
              <w:spacing w:after="160" w:line="276" w:lineRule="auto"/>
              <w:jc w:val="both"/>
              <w:rPr>
                <w:rFonts w:ascii="Arial" w:eastAsia="Times New Roman" w:hAnsi="Arial" w:cs="Arial"/>
                <w:b/>
                <w:iCs/>
                <w:noProof/>
                <w:lang w:eastAsia="en-GB"/>
              </w:rPr>
            </w:pPr>
            <w:r w:rsidRPr="001D50E3">
              <w:rPr>
                <w:rFonts w:ascii="Arial" w:eastAsia="Times New Roman" w:hAnsi="Arial" w:cs="Arial"/>
                <w:b/>
                <w:iCs/>
                <w:noProof/>
                <w:lang w:eastAsia="en-GB"/>
              </w:rPr>
              <w:t>3 209 641,21</w:t>
            </w:r>
          </w:p>
        </w:tc>
      </w:tr>
    </w:tbl>
    <w:p w:rsidR="00FF2EC0" w:rsidRPr="001D50E3" w:rsidRDefault="00FF2EC0" w:rsidP="00FF2EC0">
      <w:pPr>
        <w:jc w:val="both"/>
        <w:rPr>
          <w:rFonts w:ascii="Arial" w:eastAsia="Times New Roman" w:hAnsi="Arial" w:cs="Arial"/>
          <w:iCs/>
          <w:noProof/>
          <w:lang w:val="mk-MK" w:eastAsia="en-GB"/>
        </w:rPr>
      </w:pPr>
    </w:p>
    <w:p w:rsidR="00FF2EC0" w:rsidRPr="001D50E3" w:rsidRDefault="00FF2EC0" w:rsidP="00754C28">
      <w:pPr>
        <w:spacing w:line="276" w:lineRule="auto"/>
        <w:jc w:val="both"/>
        <w:rPr>
          <w:rFonts w:ascii="Arial" w:hAnsi="Arial" w:cs="Arial"/>
          <w:lang w:val="sq-AL"/>
        </w:rPr>
      </w:pPr>
      <w:r w:rsidRPr="001D50E3">
        <w:rPr>
          <w:rFonts w:ascii="Arial" w:hAnsi="Arial" w:cs="Arial"/>
          <w:lang w:val="sq-AL"/>
        </w:rPr>
        <w:t>Tabela 5: Dimensioni 2 - forma e financimit</w:t>
      </w:r>
    </w:p>
    <w:tbl>
      <w:tblPr>
        <w:tblStyle w:val="TableGrid11"/>
        <w:tblW w:w="9975" w:type="dxa"/>
        <w:tblInd w:w="-147" w:type="dxa"/>
        <w:tblLook w:val="04A0" w:firstRow="1" w:lastRow="0" w:firstColumn="1" w:lastColumn="0" w:noHBand="0" w:noVBand="1"/>
      </w:tblPr>
      <w:tblGrid>
        <w:gridCol w:w="1418"/>
        <w:gridCol w:w="2126"/>
        <w:gridCol w:w="2178"/>
        <w:gridCol w:w="1439"/>
        <w:gridCol w:w="2814"/>
      </w:tblGrid>
      <w:tr w:rsidR="00FF2EC0" w:rsidRPr="001D50E3" w:rsidTr="00754C28">
        <w:trPr>
          <w:trHeight w:val="208"/>
        </w:trPr>
        <w:tc>
          <w:tcPr>
            <w:tcW w:w="1418" w:type="dxa"/>
            <w:tcBorders>
              <w:top w:val="single" w:sz="4" w:space="0" w:color="auto"/>
              <w:left w:val="single" w:sz="4" w:space="0" w:color="auto"/>
              <w:bottom w:val="single" w:sz="4" w:space="0" w:color="auto"/>
              <w:right w:val="single" w:sz="4" w:space="0" w:color="auto"/>
            </w:tcBorders>
            <w:hideMark/>
          </w:tcPr>
          <w:p w:rsidR="00FF2EC0" w:rsidRPr="001D50E3" w:rsidRDefault="00FF2EC0" w:rsidP="00754C28">
            <w:pPr>
              <w:spacing w:after="160" w:line="276" w:lineRule="auto"/>
              <w:jc w:val="both"/>
              <w:rPr>
                <w:rFonts w:ascii="Arial" w:hAnsi="Arial" w:cs="Arial"/>
                <w:b/>
                <w:iCs/>
                <w:noProof/>
                <w:lang w:val="sq-AL" w:eastAsia="en-GB"/>
              </w:rPr>
            </w:pPr>
            <w:r w:rsidRPr="001D50E3">
              <w:rPr>
                <w:rFonts w:ascii="Arial" w:hAnsi="Arial" w:cs="Arial"/>
                <w:b/>
                <w:iCs/>
                <w:noProof/>
                <w:lang w:val="sq-AL" w:eastAsia="en-GB"/>
              </w:rPr>
              <w:t>Prioritet nr.</w:t>
            </w:r>
          </w:p>
        </w:tc>
        <w:tc>
          <w:tcPr>
            <w:tcW w:w="2126" w:type="dxa"/>
            <w:tcBorders>
              <w:top w:val="single" w:sz="4" w:space="0" w:color="auto"/>
              <w:left w:val="single" w:sz="4" w:space="0" w:color="auto"/>
              <w:bottom w:val="single" w:sz="4" w:space="0" w:color="auto"/>
              <w:right w:val="single" w:sz="4" w:space="0" w:color="auto"/>
            </w:tcBorders>
            <w:hideMark/>
          </w:tcPr>
          <w:p w:rsidR="00FF2EC0" w:rsidRPr="001D50E3" w:rsidRDefault="00FF2EC0" w:rsidP="00754C28">
            <w:pPr>
              <w:spacing w:after="160" w:line="276" w:lineRule="auto"/>
              <w:jc w:val="both"/>
              <w:rPr>
                <w:rFonts w:ascii="Arial" w:hAnsi="Arial" w:cs="Arial"/>
                <w:b/>
                <w:iCs/>
                <w:noProof/>
                <w:lang w:val="sq-AL" w:eastAsia="en-GB"/>
              </w:rPr>
            </w:pPr>
            <w:r w:rsidRPr="001D50E3">
              <w:rPr>
                <w:rFonts w:ascii="Arial" w:hAnsi="Arial" w:cs="Arial"/>
                <w:b/>
                <w:iCs/>
                <w:noProof/>
                <w:lang w:val="sq-AL" w:eastAsia="en-GB"/>
              </w:rPr>
              <w:t>Fond</w:t>
            </w:r>
          </w:p>
        </w:tc>
        <w:tc>
          <w:tcPr>
            <w:tcW w:w="2178" w:type="dxa"/>
            <w:tcBorders>
              <w:top w:val="single" w:sz="4" w:space="0" w:color="auto"/>
              <w:left w:val="single" w:sz="4" w:space="0" w:color="auto"/>
              <w:bottom w:val="single" w:sz="4" w:space="0" w:color="auto"/>
              <w:right w:val="single" w:sz="4" w:space="0" w:color="auto"/>
            </w:tcBorders>
            <w:hideMark/>
          </w:tcPr>
          <w:p w:rsidR="00FF2EC0" w:rsidRPr="001D50E3" w:rsidRDefault="00FF2EC0" w:rsidP="00754C28">
            <w:pPr>
              <w:spacing w:after="160" w:line="276" w:lineRule="auto"/>
              <w:jc w:val="both"/>
              <w:rPr>
                <w:rFonts w:ascii="Arial" w:hAnsi="Arial" w:cs="Arial"/>
                <w:b/>
                <w:iCs/>
                <w:noProof/>
                <w:lang w:eastAsia="en-GB"/>
              </w:rPr>
            </w:pPr>
            <w:r w:rsidRPr="001D50E3">
              <w:rPr>
                <w:rFonts w:ascii="Arial" w:hAnsi="Arial" w:cs="Arial"/>
                <w:b/>
                <w:iCs/>
                <w:noProof/>
                <w:lang w:eastAsia="en-GB"/>
              </w:rPr>
              <w:t>Objektivi specifik</w:t>
            </w:r>
          </w:p>
        </w:tc>
        <w:tc>
          <w:tcPr>
            <w:tcW w:w="1439" w:type="dxa"/>
            <w:tcBorders>
              <w:top w:val="single" w:sz="4" w:space="0" w:color="auto"/>
              <w:left w:val="single" w:sz="4" w:space="0" w:color="auto"/>
              <w:bottom w:val="single" w:sz="4" w:space="0" w:color="auto"/>
              <w:right w:val="single" w:sz="4" w:space="0" w:color="auto"/>
            </w:tcBorders>
            <w:hideMark/>
          </w:tcPr>
          <w:p w:rsidR="00FF2EC0" w:rsidRPr="001D50E3" w:rsidRDefault="00FF2EC0" w:rsidP="00754C28">
            <w:pPr>
              <w:spacing w:after="160" w:line="276" w:lineRule="auto"/>
              <w:jc w:val="both"/>
              <w:rPr>
                <w:rFonts w:ascii="Arial" w:hAnsi="Arial" w:cs="Arial"/>
                <w:b/>
                <w:iCs/>
                <w:noProof/>
                <w:lang w:val="sq-AL" w:eastAsia="en-GB"/>
              </w:rPr>
            </w:pPr>
            <w:r w:rsidRPr="001D50E3">
              <w:rPr>
                <w:rFonts w:ascii="Arial" w:hAnsi="Arial" w:cs="Arial"/>
                <w:b/>
                <w:iCs/>
                <w:noProof/>
                <w:lang w:val="sq-AL" w:eastAsia="en-GB"/>
              </w:rPr>
              <w:t>Kod</w:t>
            </w:r>
          </w:p>
        </w:tc>
        <w:tc>
          <w:tcPr>
            <w:tcW w:w="2814" w:type="dxa"/>
            <w:tcBorders>
              <w:top w:val="single" w:sz="4" w:space="0" w:color="auto"/>
              <w:left w:val="single" w:sz="4" w:space="0" w:color="auto"/>
              <w:bottom w:val="single" w:sz="4" w:space="0" w:color="auto"/>
              <w:right w:val="single" w:sz="4" w:space="0" w:color="auto"/>
            </w:tcBorders>
            <w:hideMark/>
          </w:tcPr>
          <w:p w:rsidR="00FF2EC0" w:rsidRPr="001D50E3" w:rsidRDefault="00FF2EC0" w:rsidP="00754C28">
            <w:pPr>
              <w:spacing w:after="160" w:line="276" w:lineRule="auto"/>
              <w:jc w:val="both"/>
              <w:rPr>
                <w:rFonts w:ascii="Arial" w:hAnsi="Arial" w:cs="Arial"/>
                <w:b/>
                <w:iCs/>
                <w:noProof/>
                <w:lang w:eastAsia="en-GB"/>
              </w:rPr>
            </w:pPr>
            <w:r w:rsidRPr="001D50E3">
              <w:rPr>
                <w:rFonts w:ascii="Arial" w:hAnsi="Arial" w:cs="Arial"/>
                <w:b/>
                <w:iCs/>
                <w:noProof/>
                <w:lang w:val="sq-AL" w:eastAsia="en-GB"/>
              </w:rPr>
              <w:t xml:space="preserve">Shuma </w:t>
            </w:r>
            <w:r w:rsidRPr="001D50E3">
              <w:rPr>
                <w:rFonts w:ascii="Arial" w:hAnsi="Arial" w:cs="Arial"/>
                <w:b/>
                <w:iCs/>
                <w:noProof/>
                <w:lang w:eastAsia="en-GB"/>
              </w:rPr>
              <w:t>(</w:t>
            </w:r>
            <w:r w:rsidRPr="001D50E3">
              <w:rPr>
                <w:rFonts w:ascii="Arial" w:hAnsi="Arial" w:cs="Arial"/>
                <w:b/>
                <w:iCs/>
                <w:noProof/>
                <w:lang w:val="sq-AL" w:eastAsia="en-GB"/>
              </w:rPr>
              <w:t>Euro</w:t>
            </w:r>
            <w:r w:rsidRPr="001D50E3">
              <w:rPr>
                <w:rFonts w:ascii="Arial" w:hAnsi="Arial" w:cs="Arial"/>
                <w:b/>
                <w:iCs/>
                <w:noProof/>
                <w:lang w:eastAsia="en-GB"/>
              </w:rPr>
              <w:t>)</w:t>
            </w:r>
          </w:p>
        </w:tc>
      </w:tr>
      <w:tr w:rsidR="00FF2EC0" w:rsidRPr="001D50E3" w:rsidTr="00754C28">
        <w:trPr>
          <w:trHeight w:val="404"/>
        </w:trPr>
        <w:tc>
          <w:tcPr>
            <w:tcW w:w="1418" w:type="dxa"/>
            <w:tcBorders>
              <w:top w:val="single" w:sz="4" w:space="0" w:color="auto"/>
              <w:left w:val="single" w:sz="4" w:space="0" w:color="auto"/>
              <w:bottom w:val="single" w:sz="4" w:space="0" w:color="auto"/>
              <w:right w:val="single" w:sz="4" w:space="0" w:color="auto"/>
            </w:tcBorders>
            <w:vAlign w:val="center"/>
            <w:hideMark/>
          </w:tcPr>
          <w:p w:rsidR="00FF2EC0" w:rsidRPr="001D50E3" w:rsidRDefault="00FF2EC0" w:rsidP="00754C28">
            <w:pPr>
              <w:spacing w:after="160" w:line="276" w:lineRule="auto"/>
              <w:jc w:val="both"/>
              <w:rPr>
                <w:rFonts w:ascii="Arial" w:hAnsi="Arial" w:cs="Arial"/>
                <w:b/>
                <w:iCs/>
                <w:noProof/>
                <w:lang w:eastAsia="en-GB"/>
              </w:rPr>
            </w:pPr>
            <w:r w:rsidRPr="001D50E3">
              <w:rPr>
                <w:rFonts w:ascii="Arial" w:hAnsi="Arial" w:cs="Arial"/>
                <w:b/>
                <w:iCs/>
                <w:noProof/>
                <w:lang w:eastAsia="en-GB"/>
              </w:rPr>
              <w:t>3</w:t>
            </w:r>
          </w:p>
        </w:tc>
        <w:tc>
          <w:tcPr>
            <w:tcW w:w="2126" w:type="dxa"/>
            <w:tcBorders>
              <w:top w:val="single" w:sz="4" w:space="0" w:color="auto"/>
              <w:left w:val="single" w:sz="4" w:space="0" w:color="auto"/>
              <w:bottom w:val="single" w:sz="4" w:space="0" w:color="auto"/>
              <w:right w:val="single" w:sz="4" w:space="0" w:color="auto"/>
            </w:tcBorders>
            <w:hideMark/>
          </w:tcPr>
          <w:p w:rsidR="00FF2EC0" w:rsidRPr="001D50E3" w:rsidRDefault="00FF2EC0" w:rsidP="00754C28">
            <w:pPr>
              <w:spacing w:after="160" w:line="276" w:lineRule="auto"/>
              <w:jc w:val="both"/>
              <w:rPr>
                <w:rFonts w:ascii="Arial" w:hAnsi="Arial" w:cs="Arial"/>
                <w:iCs/>
                <w:noProof/>
                <w:lang w:eastAsia="en-GB"/>
              </w:rPr>
            </w:pPr>
            <w:r w:rsidRPr="001D50E3">
              <w:rPr>
                <w:rFonts w:ascii="Arial" w:hAnsi="Arial" w:cs="Arial"/>
              </w:rPr>
              <w:t>Fondet e Unionit (ERDF dhe IPA</w:t>
            </w:r>
            <w:r w:rsidRPr="001D50E3">
              <w:rPr>
                <w:rFonts w:ascii="Arial" w:hAnsi="Arial" w:cs="Arial"/>
                <w:lang w:val="sq-AL"/>
              </w:rPr>
              <w:t>)</w:t>
            </w:r>
          </w:p>
        </w:tc>
        <w:tc>
          <w:tcPr>
            <w:tcW w:w="2178" w:type="dxa"/>
            <w:tcBorders>
              <w:top w:val="single" w:sz="4" w:space="0" w:color="auto"/>
              <w:left w:val="single" w:sz="4" w:space="0" w:color="auto"/>
              <w:bottom w:val="single" w:sz="4" w:space="0" w:color="auto"/>
              <w:right w:val="single" w:sz="4" w:space="0" w:color="auto"/>
            </w:tcBorders>
            <w:vAlign w:val="center"/>
            <w:hideMark/>
          </w:tcPr>
          <w:p w:rsidR="00FF2EC0" w:rsidRPr="001D50E3" w:rsidRDefault="00FF2EC0" w:rsidP="00754C28">
            <w:pPr>
              <w:spacing w:after="160" w:line="276" w:lineRule="auto"/>
              <w:jc w:val="both"/>
              <w:rPr>
                <w:rFonts w:ascii="Arial" w:hAnsi="Arial" w:cs="Arial"/>
                <w:b/>
                <w:iCs/>
                <w:noProof/>
                <w:lang w:eastAsia="en-GB"/>
              </w:rPr>
            </w:pPr>
            <w:r w:rsidRPr="001D50E3">
              <w:rPr>
                <w:rFonts w:ascii="Arial" w:hAnsi="Arial" w:cs="Arial"/>
                <w:b/>
                <w:iCs/>
                <w:noProof/>
                <w:lang w:eastAsia="en-GB"/>
              </w:rPr>
              <w:t>3.1</w:t>
            </w:r>
          </w:p>
        </w:tc>
        <w:tc>
          <w:tcPr>
            <w:tcW w:w="1439" w:type="dxa"/>
            <w:tcBorders>
              <w:top w:val="single" w:sz="4" w:space="0" w:color="auto"/>
              <w:left w:val="single" w:sz="4" w:space="0" w:color="auto"/>
              <w:bottom w:val="single" w:sz="4" w:space="0" w:color="auto"/>
              <w:right w:val="single" w:sz="4" w:space="0" w:color="auto"/>
            </w:tcBorders>
            <w:vAlign w:val="center"/>
            <w:hideMark/>
          </w:tcPr>
          <w:p w:rsidR="00FF2EC0" w:rsidRPr="001D50E3" w:rsidRDefault="00FF2EC0" w:rsidP="00754C28">
            <w:pPr>
              <w:spacing w:after="160" w:line="276" w:lineRule="auto"/>
              <w:jc w:val="both"/>
              <w:rPr>
                <w:rFonts w:ascii="Arial" w:hAnsi="Arial" w:cs="Arial"/>
                <w:b/>
                <w:iCs/>
                <w:noProof/>
                <w:lang w:eastAsia="en-GB"/>
              </w:rPr>
            </w:pPr>
            <w:r w:rsidRPr="001D50E3">
              <w:rPr>
                <w:rFonts w:ascii="Arial" w:hAnsi="Arial" w:cs="Arial"/>
                <w:b/>
                <w:iCs/>
                <w:noProof/>
                <w:lang w:eastAsia="en-GB"/>
              </w:rPr>
              <w:t>01 Grant</w:t>
            </w:r>
          </w:p>
        </w:tc>
        <w:tc>
          <w:tcPr>
            <w:tcW w:w="2814" w:type="dxa"/>
            <w:tcBorders>
              <w:top w:val="single" w:sz="4" w:space="0" w:color="auto"/>
              <w:left w:val="single" w:sz="4" w:space="0" w:color="auto"/>
              <w:bottom w:val="single" w:sz="4" w:space="0" w:color="auto"/>
              <w:right w:val="single" w:sz="4" w:space="0" w:color="auto"/>
            </w:tcBorders>
            <w:vAlign w:val="center"/>
            <w:hideMark/>
          </w:tcPr>
          <w:p w:rsidR="00FF2EC0" w:rsidRPr="001D50E3" w:rsidRDefault="00FF2EC0" w:rsidP="00754C28">
            <w:pPr>
              <w:spacing w:after="160" w:line="276" w:lineRule="auto"/>
              <w:jc w:val="both"/>
              <w:rPr>
                <w:rFonts w:ascii="Arial" w:hAnsi="Arial" w:cs="Arial"/>
                <w:b/>
                <w:iCs/>
                <w:noProof/>
                <w:lang w:eastAsia="en-GB"/>
              </w:rPr>
            </w:pPr>
            <w:r w:rsidRPr="001D50E3">
              <w:rPr>
                <w:rFonts w:ascii="Arial" w:hAnsi="Arial" w:cs="Arial"/>
                <w:b/>
                <w:iCs/>
                <w:noProof/>
                <w:lang w:eastAsia="en-GB"/>
              </w:rPr>
              <w:t>12 036 154,55</w:t>
            </w:r>
          </w:p>
        </w:tc>
      </w:tr>
    </w:tbl>
    <w:p w:rsidR="00FF2EC0" w:rsidRPr="001D50E3" w:rsidRDefault="00FF2EC0" w:rsidP="00754C28">
      <w:pPr>
        <w:spacing w:line="276" w:lineRule="auto"/>
        <w:jc w:val="both"/>
        <w:rPr>
          <w:rFonts w:ascii="Arial" w:hAnsi="Arial" w:cs="Arial"/>
          <w:u w:val="single"/>
          <w:lang w:val="sq-AL"/>
        </w:rPr>
      </w:pPr>
    </w:p>
    <w:p w:rsidR="00FF2EC0" w:rsidRPr="001D50E3" w:rsidRDefault="00FF2EC0" w:rsidP="00754C28">
      <w:pPr>
        <w:spacing w:line="276" w:lineRule="auto"/>
        <w:jc w:val="both"/>
        <w:rPr>
          <w:rFonts w:ascii="Arial" w:hAnsi="Arial" w:cs="Arial"/>
          <w:b/>
          <w:lang w:val="sq-AL"/>
        </w:rPr>
      </w:pPr>
      <w:r w:rsidRPr="001D50E3">
        <w:rPr>
          <w:rFonts w:ascii="Arial" w:hAnsi="Arial" w:cs="Arial"/>
          <w:b/>
          <w:lang w:val="sq-AL"/>
        </w:rPr>
        <w:t>3. Plani financiar</w:t>
      </w:r>
    </w:p>
    <w:p w:rsidR="00FF2EC0" w:rsidRPr="001D50E3" w:rsidRDefault="00FF2EC0" w:rsidP="00754C28">
      <w:pPr>
        <w:spacing w:line="276" w:lineRule="auto"/>
        <w:jc w:val="both"/>
        <w:rPr>
          <w:rFonts w:ascii="Arial" w:hAnsi="Arial" w:cs="Arial"/>
          <w:lang w:val="sq-AL"/>
        </w:rPr>
      </w:pPr>
      <w:r w:rsidRPr="001D50E3">
        <w:rPr>
          <w:rFonts w:ascii="Arial" w:hAnsi="Arial" w:cs="Arial"/>
          <w:lang w:val="sq-AL"/>
        </w:rPr>
        <w:t>Referenca: pika (g) e Nenit 17 (3)</w:t>
      </w:r>
    </w:p>
    <w:p w:rsidR="00FF2EC0" w:rsidRPr="001D50E3" w:rsidRDefault="00FF2EC0" w:rsidP="00754C28">
      <w:pPr>
        <w:spacing w:line="276" w:lineRule="auto"/>
        <w:jc w:val="both"/>
        <w:rPr>
          <w:rFonts w:ascii="Arial" w:hAnsi="Arial" w:cs="Arial"/>
          <w:b/>
          <w:lang w:val="sq-AL"/>
        </w:rPr>
      </w:pPr>
      <w:r w:rsidRPr="001D50E3">
        <w:rPr>
          <w:rFonts w:ascii="Arial" w:hAnsi="Arial" w:cs="Arial"/>
          <w:b/>
          <w:lang w:val="sq-AL"/>
        </w:rPr>
        <w:t>3.1 Përcaktimi financiar sipas vitit</w:t>
      </w:r>
    </w:p>
    <w:p w:rsidR="00FF2EC0" w:rsidRPr="001D50E3" w:rsidRDefault="00FF2EC0" w:rsidP="00754C28">
      <w:pPr>
        <w:spacing w:line="276" w:lineRule="auto"/>
        <w:jc w:val="both"/>
        <w:rPr>
          <w:rFonts w:ascii="Arial" w:hAnsi="Arial" w:cs="Arial"/>
          <w:lang w:val="sq-AL"/>
        </w:rPr>
      </w:pPr>
      <w:r w:rsidRPr="001D50E3">
        <w:rPr>
          <w:rFonts w:ascii="Arial" w:hAnsi="Arial" w:cs="Arial"/>
          <w:lang w:val="sq-AL"/>
        </w:rPr>
        <w:t>Referenca: pika (g) (i) e nenit 17 (3), pika (a) - (d) e nenit 17 (4)</w:t>
      </w:r>
    </w:p>
    <w:p w:rsidR="00FF2EC0" w:rsidRDefault="00FF2EC0" w:rsidP="00754C28">
      <w:pPr>
        <w:spacing w:line="276" w:lineRule="auto"/>
        <w:jc w:val="both"/>
        <w:rPr>
          <w:rFonts w:ascii="Arial" w:hAnsi="Arial" w:cs="Arial"/>
          <w:lang w:val="sq-AL"/>
        </w:rPr>
      </w:pPr>
      <w:r w:rsidRPr="001D50E3">
        <w:rPr>
          <w:rFonts w:ascii="Arial" w:hAnsi="Arial" w:cs="Arial"/>
          <w:lang w:val="sq-AL"/>
        </w:rPr>
        <w:t>Tabela 7</w:t>
      </w:r>
    </w:p>
    <w:p w:rsidR="008768C7" w:rsidRPr="001D50E3" w:rsidRDefault="008768C7" w:rsidP="00754C28">
      <w:pPr>
        <w:spacing w:line="276" w:lineRule="auto"/>
        <w:jc w:val="both"/>
        <w:rPr>
          <w:rFonts w:ascii="Arial" w:hAnsi="Arial" w:cs="Arial"/>
          <w:lang w:val="sq-AL"/>
        </w:rPr>
      </w:pPr>
    </w:p>
    <w:tbl>
      <w:tblPr>
        <w:tblStyle w:val="TableGrid13"/>
        <w:tblW w:w="11624" w:type="dxa"/>
        <w:tblInd w:w="-1026" w:type="dxa"/>
        <w:tblLook w:val="04A0" w:firstRow="1" w:lastRow="0" w:firstColumn="1" w:lastColumn="0" w:noHBand="0" w:noVBand="1"/>
      </w:tblPr>
      <w:tblGrid>
        <w:gridCol w:w="1833"/>
        <w:gridCol w:w="617"/>
        <w:gridCol w:w="683"/>
        <w:gridCol w:w="679"/>
        <w:gridCol w:w="445"/>
        <w:gridCol w:w="846"/>
        <w:gridCol w:w="1276"/>
        <w:gridCol w:w="1056"/>
        <w:gridCol w:w="252"/>
        <w:gridCol w:w="875"/>
        <w:gridCol w:w="393"/>
        <w:gridCol w:w="594"/>
        <w:gridCol w:w="670"/>
        <w:gridCol w:w="1405"/>
      </w:tblGrid>
      <w:tr w:rsidR="008768C7" w:rsidRPr="001D50E3" w:rsidTr="008768C7">
        <w:trPr>
          <w:trHeight w:val="226"/>
        </w:trPr>
        <w:tc>
          <w:tcPr>
            <w:tcW w:w="1833" w:type="dxa"/>
            <w:tcBorders>
              <w:top w:val="single" w:sz="4" w:space="0" w:color="auto"/>
              <w:left w:val="single" w:sz="4" w:space="0" w:color="auto"/>
              <w:bottom w:val="single" w:sz="4" w:space="0" w:color="auto"/>
              <w:right w:val="single" w:sz="4" w:space="0" w:color="auto"/>
            </w:tcBorders>
            <w:hideMark/>
          </w:tcPr>
          <w:p w:rsidR="00FF2EC0" w:rsidRPr="001D50E3" w:rsidRDefault="00FF2EC0" w:rsidP="00754C28">
            <w:pPr>
              <w:spacing w:after="120"/>
              <w:jc w:val="both"/>
              <w:rPr>
                <w:rFonts w:ascii="Arial" w:eastAsia="Calibri" w:hAnsi="Arial" w:cs="Arial"/>
                <w:b/>
                <w:i/>
                <w:noProof/>
                <w:sz w:val="18"/>
                <w:szCs w:val="20"/>
                <w:lang w:val="sq-AL"/>
              </w:rPr>
            </w:pPr>
            <w:r w:rsidRPr="001D50E3">
              <w:rPr>
                <w:rFonts w:ascii="Arial" w:eastAsia="Calibri" w:hAnsi="Arial" w:cs="Arial"/>
                <w:b/>
                <w:i/>
                <w:noProof/>
                <w:sz w:val="18"/>
                <w:szCs w:val="20"/>
                <w:lang w:val="sq-AL"/>
              </w:rPr>
              <w:lastRenderedPageBreak/>
              <w:t>Fond</w:t>
            </w:r>
          </w:p>
        </w:tc>
        <w:tc>
          <w:tcPr>
            <w:tcW w:w="617" w:type="dxa"/>
            <w:tcBorders>
              <w:top w:val="single" w:sz="4" w:space="0" w:color="auto"/>
              <w:left w:val="single" w:sz="4" w:space="0" w:color="auto"/>
              <w:bottom w:val="single" w:sz="4" w:space="0" w:color="auto"/>
              <w:right w:val="single" w:sz="4" w:space="0" w:color="auto"/>
            </w:tcBorders>
            <w:hideMark/>
          </w:tcPr>
          <w:p w:rsidR="00FF2EC0" w:rsidRPr="001D50E3" w:rsidRDefault="00FF2EC0" w:rsidP="00754C28">
            <w:pPr>
              <w:spacing w:after="120"/>
              <w:jc w:val="both"/>
              <w:rPr>
                <w:rFonts w:ascii="Arial" w:eastAsia="Calibri" w:hAnsi="Arial" w:cs="Arial"/>
                <w:b/>
                <w:i/>
                <w:noProof/>
                <w:sz w:val="18"/>
                <w:szCs w:val="20"/>
              </w:rPr>
            </w:pPr>
            <w:r w:rsidRPr="001D50E3">
              <w:rPr>
                <w:rFonts w:ascii="Arial" w:eastAsia="Calibri" w:hAnsi="Arial" w:cs="Arial"/>
                <w:b/>
                <w:i/>
                <w:noProof/>
                <w:sz w:val="18"/>
                <w:szCs w:val="20"/>
              </w:rPr>
              <w:t>2021</w:t>
            </w:r>
          </w:p>
        </w:tc>
        <w:tc>
          <w:tcPr>
            <w:tcW w:w="1362" w:type="dxa"/>
            <w:gridSpan w:val="2"/>
            <w:tcBorders>
              <w:top w:val="single" w:sz="4" w:space="0" w:color="auto"/>
              <w:left w:val="single" w:sz="4" w:space="0" w:color="auto"/>
              <w:bottom w:val="single" w:sz="4" w:space="0" w:color="auto"/>
              <w:right w:val="single" w:sz="4" w:space="0" w:color="auto"/>
            </w:tcBorders>
            <w:hideMark/>
          </w:tcPr>
          <w:p w:rsidR="00FF2EC0" w:rsidRPr="001D50E3" w:rsidRDefault="00FF2EC0" w:rsidP="00754C28">
            <w:pPr>
              <w:spacing w:after="120"/>
              <w:jc w:val="both"/>
              <w:rPr>
                <w:rFonts w:ascii="Arial" w:eastAsia="Calibri" w:hAnsi="Arial" w:cs="Arial"/>
                <w:b/>
                <w:i/>
                <w:noProof/>
                <w:sz w:val="18"/>
                <w:szCs w:val="20"/>
              </w:rPr>
            </w:pPr>
            <w:r w:rsidRPr="001D50E3">
              <w:rPr>
                <w:rFonts w:ascii="Arial" w:eastAsia="Calibri" w:hAnsi="Arial" w:cs="Arial"/>
                <w:b/>
                <w:i/>
                <w:noProof/>
                <w:sz w:val="18"/>
                <w:szCs w:val="20"/>
              </w:rPr>
              <w:t>2022</w:t>
            </w:r>
          </w:p>
        </w:tc>
        <w:tc>
          <w:tcPr>
            <w:tcW w:w="1291" w:type="dxa"/>
            <w:gridSpan w:val="2"/>
            <w:tcBorders>
              <w:top w:val="single" w:sz="4" w:space="0" w:color="auto"/>
              <w:left w:val="single" w:sz="4" w:space="0" w:color="auto"/>
              <w:bottom w:val="single" w:sz="4" w:space="0" w:color="auto"/>
              <w:right w:val="single" w:sz="4" w:space="0" w:color="auto"/>
            </w:tcBorders>
            <w:hideMark/>
          </w:tcPr>
          <w:p w:rsidR="00FF2EC0" w:rsidRPr="001D50E3" w:rsidRDefault="00FF2EC0" w:rsidP="00754C28">
            <w:pPr>
              <w:spacing w:after="120"/>
              <w:jc w:val="both"/>
              <w:rPr>
                <w:rFonts w:ascii="Arial" w:eastAsia="Calibri" w:hAnsi="Arial" w:cs="Arial"/>
                <w:b/>
                <w:i/>
                <w:noProof/>
                <w:sz w:val="18"/>
                <w:szCs w:val="20"/>
              </w:rPr>
            </w:pPr>
            <w:r w:rsidRPr="001D50E3">
              <w:rPr>
                <w:rFonts w:ascii="Arial" w:eastAsia="Calibri" w:hAnsi="Arial" w:cs="Arial"/>
                <w:b/>
                <w:i/>
                <w:noProof/>
                <w:sz w:val="18"/>
                <w:szCs w:val="20"/>
              </w:rPr>
              <w:t>2023</w:t>
            </w:r>
          </w:p>
        </w:tc>
        <w:tc>
          <w:tcPr>
            <w:tcW w:w="1276" w:type="dxa"/>
            <w:tcBorders>
              <w:top w:val="single" w:sz="4" w:space="0" w:color="auto"/>
              <w:left w:val="single" w:sz="4" w:space="0" w:color="auto"/>
              <w:bottom w:val="single" w:sz="4" w:space="0" w:color="auto"/>
              <w:right w:val="single" w:sz="4" w:space="0" w:color="auto"/>
            </w:tcBorders>
            <w:hideMark/>
          </w:tcPr>
          <w:p w:rsidR="00FF2EC0" w:rsidRPr="001D50E3" w:rsidRDefault="00FF2EC0" w:rsidP="00754C28">
            <w:pPr>
              <w:spacing w:after="120"/>
              <w:jc w:val="both"/>
              <w:rPr>
                <w:rFonts w:ascii="Arial" w:eastAsia="Calibri" w:hAnsi="Arial" w:cs="Arial"/>
                <w:b/>
                <w:i/>
                <w:noProof/>
                <w:sz w:val="18"/>
                <w:szCs w:val="20"/>
              </w:rPr>
            </w:pPr>
            <w:r w:rsidRPr="001D50E3">
              <w:rPr>
                <w:rFonts w:ascii="Arial" w:eastAsia="Calibri" w:hAnsi="Arial" w:cs="Arial"/>
                <w:b/>
                <w:i/>
                <w:noProof/>
                <w:sz w:val="18"/>
                <w:szCs w:val="20"/>
              </w:rPr>
              <w:t>2024</w:t>
            </w:r>
          </w:p>
        </w:tc>
        <w:tc>
          <w:tcPr>
            <w:tcW w:w="1308" w:type="dxa"/>
            <w:gridSpan w:val="2"/>
            <w:tcBorders>
              <w:top w:val="single" w:sz="4" w:space="0" w:color="auto"/>
              <w:left w:val="single" w:sz="4" w:space="0" w:color="auto"/>
              <w:bottom w:val="single" w:sz="4" w:space="0" w:color="auto"/>
              <w:right w:val="single" w:sz="4" w:space="0" w:color="auto"/>
            </w:tcBorders>
            <w:hideMark/>
          </w:tcPr>
          <w:p w:rsidR="00FF2EC0" w:rsidRPr="001D50E3" w:rsidRDefault="00FF2EC0" w:rsidP="00754C28">
            <w:pPr>
              <w:spacing w:after="120"/>
              <w:jc w:val="both"/>
              <w:rPr>
                <w:rFonts w:ascii="Arial" w:eastAsia="Calibri" w:hAnsi="Arial" w:cs="Arial"/>
                <w:b/>
                <w:i/>
                <w:noProof/>
                <w:sz w:val="18"/>
                <w:szCs w:val="20"/>
              </w:rPr>
            </w:pPr>
            <w:r w:rsidRPr="001D50E3">
              <w:rPr>
                <w:rFonts w:ascii="Arial" w:eastAsia="Calibri" w:hAnsi="Arial" w:cs="Arial"/>
                <w:b/>
                <w:i/>
                <w:noProof/>
                <w:sz w:val="18"/>
                <w:szCs w:val="20"/>
              </w:rPr>
              <w:t>2025</w:t>
            </w:r>
          </w:p>
        </w:tc>
        <w:tc>
          <w:tcPr>
            <w:tcW w:w="1268" w:type="dxa"/>
            <w:gridSpan w:val="2"/>
            <w:tcBorders>
              <w:top w:val="single" w:sz="4" w:space="0" w:color="auto"/>
              <w:left w:val="single" w:sz="4" w:space="0" w:color="auto"/>
              <w:bottom w:val="single" w:sz="4" w:space="0" w:color="auto"/>
              <w:right w:val="single" w:sz="4" w:space="0" w:color="auto"/>
            </w:tcBorders>
            <w:hideMark/>
          </w:tcPr>
          <w:p w:rsidR="00FF2EC0" w:rsidRPr="001D50E3" w:rsidRDefault="00FF2EC0" w:rsidP="00754C28">
            <w:pPr>
              <w:spacing w:after="120"/>
              <w:jc w:val="both"/>
              <w:rPr>
                <w:rFonts w:ascii="Arial" w:eastAsia="Calibri" w:hAnsi="Arial" w:cs="Arial"/>
                <w:b/>
                <w:i/>
                <w:noProof/>
                <w:sz w:val="18"/>
                <w:szCs w:val="20"/>
              </w:rPr>
            </w:pPr>
            <w:r w:rsidRPr="001D50E3">
              <w:rPr>
                <w:rFonts w:ascii="Arial" w:eastAsia="Calibri" w:hAnsi="Arial" w:cs="Arial"/>
                <w:b/>
                <w:i/>
                <w:noProof/>
                <w:sz w:val="18"/>
                <w:szCs w:val="20"/>
              </w:rPr>
              <w:t>2026</w:t>
            </w:r>
          </w:p>
        </w:tc>
        <w:tc>
          <w:tcPr>
            <w:tcW w:w="1264" w:type="dxa"/>
            <w:gridSpan w:val="2"/>
            <w:tcBorders>
              <w:top w:val="single" w:sz="4" w:space="0" w:color="auto"/>
              <w:left w:val="single" w:sz="4" w:space="0" w:color="auto"/>
              <w:bottom w:val="single" w:sz="4" w:space="0" w:color="auto"/>
              <w:right w:val="single" w:sz="4" w:space="0" w:color="auto"/>
            </w:tcBorders>
            <w:hideMark/>
          </w:tcPr>
          <w:p w:rsidR="00FF2EC0" w:rsidRPr="001D50E3" w:rsidRDefault="00FF2EC0" w:rsidP="00754C28">
            <w:pPr>
              <w:spacing w:after="120"/>
              <w:jc w:val="both"/>
              <w:rPr>
                <w:rFonts w:ascii="Arial" w:eastAsia="Calibri" w:hAnsi="Arial" w:cs="Arial"/>
                <w:b/>
                <w:i/>
                <w:noProof/>
                <w:sz w:val="18"/>
                <w:szCs w:val="20"/>
              </w:rPr>
            </w:pPr>
            <w:r w:rsidRPr="001D50E3">
              <w:rPr>
                <w:rFonts w:ascii="Arial" w:eastAsia="Calibri" w:hAnsi="Arial" w:cs="Arial"/>
                <w:b/>
                <w:i/>
                <w:noProof/>
                <w:sz w:val="18"/>
                <w:szCs w:val="20"/>
              </w:rPr>
              <w:t>2027</w:t>
            </w:r>
          </w:p>
        </w:tc>
        <w:tc>
          <w:tcPr>
            <w:tcW w:w="1405" w:type="dxa"/>
            <w:tcBorders>
              <w:top w:val="single" w:sz="4" w:space="0" w:color="auto"/>
              <w:left w:val="single" w:sz="4" w:space="0" w:color="auto"/>
              <w:bottom w:val="single" w:sz="4" w:space="0" w:color="auto"/>
              <w:right w:val="single" w:sz="4" w:space="0" w:color="auto"/>
            </w:tcBorders>
            <w:hideMark/>
          </w:tcPr>
          <w:p w:rsidR="00FF2EC0" w:rsidRPr="001D50E3" w:rsidRDefault="00FF2EC0" w:rsidP="00754C28">
            <w:pPr>
              <w:spacing w:after="120"/>
              <w:jc w:val="both"/>
              <w:rPr>
                <w:rFonts w:ascii="Arial" w:eastAsia="Calibri" w:hAnsi="Arial" w:cs="Arial"/>
                <w:b/>
                <w:i/>
                <w:noProof/>
                <w:sz w:val="18"/>
                <w:szCs w:val="20"/>
                <w:lang w:val="sq-AL"/>
              </w:rPr>
            </w:pPr>
            <w:r w:rsidRPr="001D50E3">
              <w:rPr>
                <w:rFonts w:ascii="Arial" w:eastAsia="Calibri" w:hAnsi="Arial" w:cs="Arial"/>
                <w:b/>
                <w:i/>
                <w:noProof/>
                <w:sz w:val="18"/>
                <w:szCs w:val="20"/>
                <w:lang w:val="sq-AL"/>
              </w:rPr>
              <w:t>Gjithsejt</w:t>
            </w:r>
          </w:p>
        </w:tc>
      </w:tr>
      <w:tr w:rsidR="008768C7" w:rsidRPr="001D50E3" w:rsidTr="008768C7">
        <w:tc>
          <w:tcPr>
            <w:tcW w:w="1833" w:type="dxa"/>
            <w:tcBorders>
              <w:top w:val="single" w:sz="4" w:space="0" w:color="auto"/>
              <w:left w:val="single" w:sz="4" w:space="0" w:color="auto"/>
              <w:bottom w:val="single" w:sz="4" w:space="0" w:color="auto"/>
              <w:right w:val="single" w:sz="4" w:space="0" w:color="auto"/>
            </w:tcBorders>
            <w:hideMark/>
          </w:tcPr>
          <w:p w:rsidR="00FF2EC0" w:rsidRPr="001D50E3" w:rsidRDefault="00FF2EC0" w:rsidP="00754C28">
            <w:pPr>
              <w:spacing w:after="120"/>
              <w:jc w:val="both"/>
              <w:rPr>
                <w:rFonts w:ascii="Arial" w:eastAsia="Calibri" w:hAnsi="Arial" w:cs="Arial"/>
                <w:i/>
                <w:noProof/>
                <w:sz w:val="18"/>
                <w:szCs w:val="20"/>
              </w:rPr>
            </w:pPr>
            <w:r w:rsidRPr="001D50E3">
              <w:rPr>
                <w:rFonts w:ascii="Arial" w:eastAsia="Calibri" w:hAnsi="Arial" w:cs="Arial"/>
                <w:i/>
                <w:noProof/>
                <w:sz w:val="18"/>
                <w:szCs w:val="20"/>
              </w:rPr>
              <w:t>ERFR</w:t>
            </w:r>
          </w:p>
          <w:p w:rsidR="00FF2EC0" w:rsidRPr="001D50E3" w:rsidRDefault="00FF2EC0" w:rsidP="00754C28">
            <w:pPr>
              <w:spacing w:after="120"/>
              <w:jc w:val="both"/>
              <w:rPr>
                <w:rFonts w:ascii="Arial" w:eastAsia="Calibri" w:hAnsi="Arial" w:cs="Arial"/>
                <w:i/>
                <w:noProof/>
                <w:sz w:val="18"/>
                <w:szCs w:val="20"/>
              </w:rPr>
            </w:pPr>
            <w:r w:rsidRPr="001D50E3">
              <w:rPr>
                <w:rFonts w:ascii="Arial" w:eastAsia="Calibri" w:hAnsi="Arial" w:cs="Arial"/>
                <w:i/>
                <w:noProof/>
                <w:sz w:val="18"/>
                <w:szCs w:val="20"/>
              </w:rPr>
              <w:t>(qëllimi për bashkëpunim territorial)</w:t>
            </w:r>
          </w:p>
        </w:tc>
        <w:tc>
          <w:tcPr>
            <w:tcW w:w="617" w:type="dxa"/>
            <w:tcBorders>
              <w:top w:val="single" w:sz="4" w:space="0" w:color="auto"/>
              <w:left w:val="single" w:sz="4" w:space="0" w:color="auto"/>
              <w:bottom w:val="single" w:sz="4" w:space="0" w:color="auto"/>
              <w:right w:val="single" w:sz="4" w:space="0" w:color="auto"/>
            </w:tcBorders>
            <w:vAlign w:val="bottom"/>
            <w:hideMark/>
          </w:tcPr>
          <w:p w:rsidR="00FF2EC0" w:rsidRPr="001D50E3" w:rsidRDefault="00FF2EC0" w:rsidP="00754C28">
            <w:pPr>
              <w:spacing w:after="120"/>
              <w:jc w:val="both"/>
              <w:rPr>
                <w:rFonts w:ascii="Arial" w:eastAsia="Calibri" w:hAnsi="Arial" w:cs="Arial"/>
                <w:i/>
                <w:noProof/>
                <w:sz w:val="18"/>
                <w:szCs w:val="20"/>
              </w:rPr>
            </w:pPr>
            <w:r w:rsidRPr="001D50E3">
              <w:rPr>
                <w:rFonts w:ascii="Arial" w:eastAsia="Calibri" w:hAnsi="Arial" w:cs="Arial"/>
                <w:i/>
                <w:noProof/>
                <w:sz w:val="18"/>
                <w:szCs w:val="20"/>
              </w:rPr>
              <w:t>0</w:t>
            </w:r>
          </w:p>
        </w:tc>
        <w:tc>
          <w:tcPr>
            <w:tcW w:w="1362" w:type="dxa"/>
            <w:gridSpan w:val="2"/>
            <w:tcBorders>
              <w:top w:val="single" w:sz="4" w:space="0" w:color="auto"/>
              <w:left w:val="nil"/>
              <w:bottom w:val="single" w:sz="4" w:space="0" w:color="auto"/>
              <w:right w:val="single" w:sz="4" w:space="0" w:color="auto"/>
            </w:tcBorders>
            <w:vAlign w:val="bottom"/>
            <w:hideMark/>
          </w:tcPr>
          <w:p w:rsidR="00FF2EC0" w:rsidRPr="001D50E3" w:rsidRDefault="00FF2EC0" w:rsidP="00754C28">
            <w:pPr>
              <w:spacing w:after="120"/>
              <w:jc w:val="both"/>
              <w:rPr>
                <w:rFonts w:ascii="Arial" w:eastAsia="Calibri" w:hAnsi="Arial" w:cs="Arial"/>
                <w:i/>
                <w:noProof/>
                <w:sz w:val="18"/>
                <w:szCs w:val="20"/>
              </w:rPr>
            </w:pPr>
            <w:r w:rsidRPr="001D50E3">
              <w:rPr>
                <w:rFonts w:ascii="Arial" w:eastAsia="Calibri" w:hAnsi="Arial" w:cs="Arial"/>
                <w:i/>
                <w:noProof/>
                <w:sz w:val="18"/>
                <w:szCs w:val="20"/>
              </w:rPr>
              <w:t>2 195 993,17</w:t>
            </w:r>
          </w:p>
        </w:tc>
        <w:tc>
          <w:tcPr>
            <w:tcW w:w="1291" w:type="dxa"/>
            <w:gridSpan w:val="2"/>
            <w:tcBorders>
              <w:top w:val="single" w:sz="4" w:space="0" w:color="auto"/>
              <w:left w:val="nil"/>
              <w:bottom w:val="single" w:sz="4" w:space="0" w:color="auto"/>
              <w:right w:val="single" w:sz="4" w:space="0" w:color="auto"/>
            </w:tcBorders>
            <w:vAlign w:val="bottom"/>
            <w:hideMark/>
          </w:tcPr>
          <w:p w:rsidR="00FF2EC0" w:rsidRPr="001D50E3" w:rsidRDefault="00FF2EC0" w:rsidP="00754C28">
            <w:pPr>
              <w:spacing w:after="120"/>
              <w:jc w:val="both"/>
              <w:rPr>
                <w:rFonts w:ascii="Arial" w:eastAsia="Calibri" w:hAnsi="Arial" w:cs="Arial"/>
                <w:i/>
                <w:noProof/>
                <w:sz w:val="18"/>
                <w:szCs w:val="20"/>
              </w:rPr>
            </w:pPr>
            <w:r w:rsidRPr="001D50E3">
              <w:rPr>
                <w:rFonts w:ascii="Arial" w:eastAsia="Calibri" w:hAnsi="Arial" w:cs="Arial"/>
                <w:i/>
                <w:noProof/>
                <w:sz w:val="18"/>
                <w:szCs w:val="20"/>
              </w:rPr>
              <w:t>2 231 437,66</w:t>
            </w:r>
          </w:p>
        </w:tc>
        <w:tc>
          <w:tcPr>
            <w:tcW w:w="1276" w:type="dxa"/>
            <w:tcBorders>
              <w:top w:val="single" w:sz="4" w:space="0" w:color="auto"/>
              <w:left w:val="nil"/>
              <w:bottom w:val="single" w:sz="4" w:space="0" w:color="auto"/>
              <w:right w:val="single" w:sz="4" w:space="0" w:color="auto"/>
            </w:tcBorders>
            <w:vAlign w:val="bottom"/>
            <w:hideMark/>
          </w:tcPr>
          <w:p w:rsidR="00FF2EC0" w:rsidRPr="001D50E3" w:rsidRDefault="00FF2EC0" w:rsidP="00754C28">
            <w:pPr>
              <w:spacing w:after="120"/>
              <w:jc w:val="both"/>
              <w:rPr>
                <w:rFonts w:ascii="Arial" w:eastAsia="Calibri" w:hAnsi="Arial" w:cs="Arial"/>
                <w:i/>
                <w:noProof/>
                <w:sz w:val="18"/>
                <w:szCs w:val="20"/>
              </w:rPr>
            </w:pPr>
            <w:r w:rsidRPr="001D50E3">
              <w:rPr>
                <w:rFonts w:ascii="Arial" w:eastAsia="Calibri" w:hAnsi="Arial" w:cs="Arial"/>
                <w:i/>
                <w:noProof/>
                <w:sz w:val="18"/>
                <w:szCs w:val="20"/>
              </w:rPr>
              <w:t>2 267 590,86</w:t>
            </w:r>
          </w:p>
        </w:tc>
        <w:tc>
          <w:tcPr>
            <w:tcW w:w="1308" w:type="dxa"/>
            <w:gridSpan w:val="2"/>
            <w:tcBorders>
              <w:top w:val="single" w:sz="4" w:space="0" w:color="auto"/>
              <w:left w:val="nil"/>
              <w:bottom w:val="single" w:sz="4" w:space="0" w:color="auto"/>
              <w:right w:val="single" w:sz="4" w:space="0" w:color="auto"/>
            </w:tcBorders>
            <w:vAlign w:val="bottom"/>
            <w:hideMark/>
          </w:tcPr>
          <w:p w:rsidR="00FF2EC0" w:rsidRPr="001D50E3" w:rsidRDefault="00FF2EC0" w:rsidP="00754C28">
            <w:pPr>
              <w:spacing w:after="120"/>
              <w:jc w:val="both"/>
              <w:rPr>
                <w:rFonts w:ascii="Arial" w:eastAsia="Calibri" w:hAnsi="Arial" w:cs="Arial"/>
                <w:i/>
                <w:noProof/>
                <w:sz w:val="18"/>
                <w:szCs w:val="20"/>
              </w:rPr>
            </w:pPr>
            <w:r w:rsidRPr="001D50E3">
              <w:rPr>
                <w:rFonts w:ascii="Arial" w:eastAsia="Calibri" w:hAnsi="Arial" w:cs="Arial"/>
                <w:i/>
                <w:noProof/>
                <w:sz w:val="18"/>
                <w:szCs w:val="20"/>
              </w:rPr>
              <w:t>2 346 845,23</w:t>
            </w:r>
          </w:p>
        </w:tc>
        <w:tc>
          <w:tcPr>
            <w:tcW w:w="1268" w:type="dxa"/>
            <w:gridSpan w:val="2"/>
            <w:tcBorders>
              <w:top w:val="single" w:sz="4" w:space="0" w:color="auto"/>
              <w:left w:val="nil"/>
              <w:bottom w:val="single" w:sz="4" w:space="0" w:color="auto"/>
              <w:right w:val="single" w:sz="4" w:space="0" w:color="auto"/>
            </w:tcBorders>
            <w:vAlign w:val="bottom"/>
            <w:hideMark/>
          </w:tcPr>
          <w:p w:rsidR="00FF2EC0" w:rsidRPr="001D50E3" w:rsidRDefault="00FF2EC0" w:rsidP="00754C28">
            <w:pPr>
              <w:spacing w:after="120"/>
              <w:jc w:val="both"/>
              <w:rPr>
                <w:rFonts w:ascii="Arial" w:eastAsia="Calibri" w:hAnsi="Arial" w:cs="Arial"/>
                <w:i/>
                <w:noProof/>
                <w:sz w:val="18"/>
                <w:szCs w:val="20"/>
              </w:rPr>
            </w:pPr>
            <w:r w:rsidRPr="001D50E3">
              <w:rPr>
                <w:rFonts w:ascii="Arial" w:eastAsia="Calibri" w:hAnsi="Arial" w:cs="Arial"/>
                <w:i/>
                <w:noProof/>
                <w:sz w:val="18"/>
                <w:szCs w:val="20"/>
              </w:rPr>
              <w:t>1 918 307,92</w:t>
            </w:r>
          </w:p>
        </w:tc>
        <w:tc>
          <w:tcPr>
            <w:tcW w:w="1264" w:type="dxa"/>
            <w:gridSpan w:val="2"/>
            <w:tcBorders>
              <w:top w:val="single" w:sz="4" w:space="0" w:color="auto"/>
              <w:left w:val="nil"/>
              <w:bottom w:val="single" w:sz="4" w:space="0" w:color="auto"/>
              <w:right w:val="single" w:sz="4" w:space="0" w:color="auto"/>
            </w:tcBorders>
            <w:vAlign w:val="bottom"/>
            <w:hideMark/>
          </w:tcPr>
          <w:p w:rsidR="00FF2EC0" w:rsidRPr="001D50E3" w:rsidRDefault="00FF2EC0" w:rsidP="00754C28">
            <w:pPr>
              <w:spacing w:after="120"/>
              <w:jc w:val="both"/>
              <w:rPr>
                <w:rFonts w:ascii="Arial" w:eastAsia="Calibri" w:hAnsi="Arial" w:cs="Arial"/>
                <w:i/>
                <w:noProof/>
                <w:sz w:val="18"/>
                <w:szCs w:val="20"/>
              </w:rPr>
            </w:pPr>
            <w:r w:rsidRPr="001D50E3">
              <w:rPr>
                <w:rFonts w:ascii="Arial" w:eastAsia="Calibri" w:hAnsi="Arial" w:cs="Arial"/>
                <w:i/>
                <w:noProof/>
                <w:sz w:val="18"/>
                <w:szCs w:val="20"/>
              </w:rPr>
              <w:t>1 956 674,16</w:t>
            </w:r>
          </w:p>
        </w:tc>
        <w:tc>
          <w:tcPr>
            <w:tcW w:w="1405" w:type="dxa"/>
            <w:tcBorders>
              <w:top w:val="single" w:sz="4" w:space="0" w:color="auto"/>
              <w:left w:val="nil"/>
              <w:bottom w:val="single" w:sz="4" w:space="0" w:color="auto"/>
              <w:right w:val="single" w:sz="4" w:space="0" w:color="auto"/>
            </w:tcBorders>
            <w:vAlign w:val="bottom"/>
            <w:hideMark/>
          </w:tcPr>
          <w:p w:rsidR="00FF2EC0" w:rsidRPr="001D50E3" w:rsidRDefault="00FF2EC0" w:rsidP="00754C28">
            <w:pPr>
              <w:spacing w:after="120"/>
              <w:jc w:val="both"/>
              <w:rPr>
                <w:rFonts w:ascii="Arial" w:eastAsia="Calibri" w:hAnsi="Arial" w:cs="Arial"/>
                <w:i/>
                <w:noProof/>
                <w:sz w:val="18"/>
                <w:szCs w:val="20"/>
              </w:rPr>
            </w:pPr>
            <w:r w:rsidRPr="001D50E3">
              <w:rPr>
                <w:rFonts w:ascii="Arial" w:eastAsia="Calibri" w:hAnsi="Arial" w:cs="Arial"/>
                <w:i/>
                <w:noProof/>
                <w:sz w:val="18"/>
                <w:szCs w:val="20"/>
              </w:rPr>
              <w:t>12 916 849,00</w:t>
            </w:r>
          </w:p>
        </w:tc>
      </w:tr>
      <w:tr w:rsidR="008768C7" w:rsidRPr="001D50E3" w:rsidTr="008768C7">
        <w:tc>
          <w:tcPr>
            <w:tcW w:w="1833" w:type="dxa"/>
            <w:tcBorders>
              <w:top w:val="single" w:sz="4" w:space="0" w:color="auto"/>
              <w:left w:val="single" w:sz="4" w:space="0" w:color="auto"/>
              <w:bottom w:val="single" w:sz="4" w:space="0" w:color="auto"/>
              <w:right w:val="single" w:sz="4" w:space="0" w:color="auto"/>
            </w:tcBorders>
          </w:tcPr>
          <w:p w:rsidR="00FF2EC0" w:rsidRPr="001D50E3" w:rsidRDefault="00FF2EC0" w:rsidP="00754C28">
            <w:pPr>
              <w:spacing w:after="120"/>
              <w:jc w:val="both"/>
              <w:rPr>
                <w:rFonts w:ascii="Arial" w:eastAsia="Calibri" w:hAnsi="Arial" w:cs="Arial"/>
                <w:b/>
                <w:i/>
                <w:strike/>
                <w:noProof/>
                <w:sz w:val="18"/>
                <w:szCs w:val="20"/>
              </w:rPr>
            </w:pPr>
          </w:p>
        </w:tc>
        <w:tc>
          <w:tcPr>
            <w:tcW w:w="617" w:type="dxa"/>
            <w:tcBorders>
              <w:top w:val="nil"/>
              <w:left w:val="single" w:sz="4" w:space="0" w:color="auto"/>
              <w:bottom w:val="single" w:sz="4" w:space="0" w:color="auto"/>
              <w:right w:val="single" w:sz="4" w:space="0" w:color="auto"/>
            </w:tcBorders>
            <w:vAlign w:val="bottom"/>
            <w:hideMark/>
          </w:tcPr>
          <w:p w:rsidR="00FF2EC0" w:rsidRPr="001D50E3" w:rsidRDefault="00FF2EC0" w:rsidP="00754C28">
            <w:pPr>
              <w:spacing w:after="120"/>
              <w:jc w:val="both"/>
              <w:rPr>
                <w:rFonts w:ascii="Arial" w:eastAsia="Calibri" w:hAnsi="Arial" w:cs="Arial"/>
                <w:i/>
                <w:noProof/>
                <w:sz w:val="18"/>
                <w:szCs w:val="20"/>
              </w:rPr>
            </w:pPr>
            <w:r w:rsidRPr="001D50E3">
              <w:rPr>
                <w:rFonts w:ascii="Arial" w:eastAsia="Calibri" w:hAnsi="Arial" w:cs="Arial"/>
                <w:i/>
                <w:noProof/>
                <w:sz w:val="18"/>
                <w:szCs w:val="20"/>
              </w:rPr>
              <w:t>0</w:t>
            </w:r>
          </w:p>
        </w:tc>
        <w:tc>
          <w:tcPr>
            <w:tcW w:w="1362" w:type="dxa"/>
            <w:gridSpan w:val="2"/>
            <w:tcBorders>
              <w:top w:val="nil"/>
              <w:left w:val="nil"/>
              <w:bottom w:val="single" w:sz="4" w:space="0" w:color="auto"/>
              <w:right w:val="single" w:sz="4" w:space="0" w:color="auto"/>
            </w:tcBorders>
            <w:vAlign w:val="bottom"/>
            <w:hideMark/>
          </w:tcPr>
          <w:p w:rsidR="00FF2EC0" w:rsidRPr="001D50E3" w:rsidRDefault="00FF2EC0" w:rsidP="00754C28">
            <w:pPr>
              <w:spacing w:after="120"/>
              <w:jc w:val="both"/>
              <w:rPr>
                <w:rFonts w:ascii="Arial" w:eastAsia="Calibri" w:hAnsi="Arial" w:cs="Arial"/>
                <w:i/>
                <w:noProof/>
                <w:sz w:val="18"/>
                <w:szCs w:val="20"/>
              </w:rPr>
            </w:pPr>
            <w:r w:rsidRPr="001D50E3">
              <w:rPr>
                <w:rFonts w:ascii="Arial" w:eastAsia="Calibri" w:hAnsi="Arial" w:cs="Arial"/>
                <w:i/>
                <w:noProof/>
                <w:sz w:val="18"/>
                <w:szCs w:val="20"/>
              </w:rPr>
              <w:t>2 305 792,75</w:t>
            </w:r>
          </w:p>
        </w:tc>
        <w:tc>
          <w:tcPr>
            <w:tcW w:w="1291" w:type="dxa"/>
            <w:gridSpan w:val="2"/>
            <w:tcBorders>
              <w:top w:val="nil"/>
              <w:left w:val="nil"/>
              <w:bottom w:val="single" w:sz="4" w:space="0" w:color="auto"/>
              <w:right w:val="single" w:sz="4" w:space="0" w:color="auto"/>
            </w:tcBorders>
            <w:vAlign w:val="bottom"/>
            <w:hideMark/>
          </w:tcPr>
          <w:p w:rsidR="00FF2EC0" w:rsidRPr="001D50E3" w:rsidRDefault="00FF2EC0" w:rsidP="00754C28">
            <w:pPr>
              <w:spacing w:after="120"/>
              <w:jc w:val="both"/>
              <w:rPr>
                <w:rFonts w:ascii="Arial" w:eastAsia="Calibri" w:hAnsi="Arial" w:cs="Arial"/>
                <w:i/>
                <w:noProof/>
                <w:sz w:val="18"/>
                <w:szCs w:val="20"/>
              </w:rPr>
            </w:pPr>
            <w:r w:rsidRPr="001D50E3">
              <w:rPr>
                <w:rFonts w:ascii="Arial" w:eastAsia="Calibri" w:hAnsi="Arial" w:cs="Arial"/>
                <w:i/>
                <w:noProof/>
                <w:sz w:val="18"/>
                <w:szCs w:val="20"/>
              </w:rPr>
              <w:t>2 343 009,47</w:t>
            </w:r>
          </w:p>
        </w:tc>
        <w:tc>
          <w:tcPr>
            <w:tcW w:w="1276" w:type="dxa"/>
            <w:tcBorders>
              <w:top w:val="nil"/>
              <w:left w:val="nil"/>
              <w:bottom w:val="single" w:sz="4" w:space="0" w:color="auto"/>
              <w:right w:val="single" w:sz="4" w:space="0" w:color="auto"/>
            </w:tcBorders>
            <w:vAlign w:val="bottom"/>
            <w:hideMark/>
          </w:tcPr>
          <w:p w:rsidR="00FF2EC0" w:rsidRPr="001D50E3" w:rsidRDefault="00FF2EC0" w:rsidP="00754C28">
            <w:pPr>
              <w:spacing w:after="120"/>
              <w:jc w:val="both"/>
              <w:rPr>
                <w:rFonts w:ascii="Arial" w:eastAsia="Calibri" w:hAnsi="Arial" w:cs="Arial"/>
                <w:i/>
                <w:noProof/>
                <w:sz w:val="18"/>
                <w:szCs w:val="20"/>
              </w:rPr>
            </w:pPr>
            <w:r w:rsidRPr="001D50E3">
              <w:rPr>
                <w:rFonts w:ascii="Arial" w:eastAsia="Calibri" w:hAnsi="Arial" w:cs="Arial"/>
                <w:i/>
                <w:noProof/>
                <w:sz w:val="18"/>
                <w:szCs w:val="20"/>
              </w:rPr>
              <w:t>2 380 970,33</w:t>
            </w:r>
          </w:p>
        </w:tc>
        <w:tc>
          <w:tcPr>
            <w:tcW w:w="1308" w:type="dxa"/>
            <w:gridSpan w:val="2"/>
            <w:tcBorders>
              <w:top w:val="nil"/>
              <w:left w:val="nil"/>
              <w:bottom w:val="single" w:sz="4" w:space="0" w:color="auto"/>
              <w:right w:val="single" w:sz="4" w:space="0" w:color="auto"/>
            </w:tcBorders>
            <w:vAlign w:val="bottom"/>
            <w:hideMark/>
          </w:tcPr>
          <w:p w:rsidR="00FF2EC0" w:rsidRPr="001D50E3" w:rsidRDefault="00FF2EC0" w:rsidP="00754C28">
            <w:pPr>
              <w:spacing w:after="120"/>
              <w:jc w:val="both"/>
              <w:rPr>
                <w:rFonts w:ascii="Arial" w:eastAsia="Calibri" w:hAnsi="Arial" w:cs="Arial"/>
                <w:i/>
                <w:noProof/>
                <w:sz w:val="18"/>
                <w:szCs w:val="20"/>
              </w:rPr>
            </w:pPr>
            <w:r w:rsidRPr="001D50E3">
              <w:rPr>
                <w:rFonts w:ascii="Arial" w:eastAsia="Calibri" w:hAnsi="Arial" w:cs="Arial"/>
                <w:i/>
                <w:noProof/>
                <w:sz w:val="18"/>
                <w:szCs w:val="20"/>
              </w:rPr>
              <w:t>2 464 187,41</w:t>
            </w:r>
          </w:p>
        </w:tc>
        <w:tc>
          <w:tcPr>
            <w:tcW w:w="1268" w:type="dxa"/>
            <w:gridSpan w:val="2"/>
            <w:tcBorders>
              <w:top w:val="nil"/>
              <w:left w:val="nil"/>
              <w:bottom w:val="single" w:sz="4" w:space="0" w:color="auto"/>
              <w:right w:val="single" w:sz="4" w:space="0" w:color="auto"/>
            </w:tcBorders>
            <w:vAlign w:val="bottom"/>
            <w:hideMark/>
          </w:tcPr>
          <w:p w:rsidR="00FF2EC0" w:rsidRPr="001D50E3" w:rsidRDefault="00FF2EC0" w:rsidP="00754C28">
            <w:pPr>
              <w:spacing w:after="120"/>
              <w:jc w:val="both"/>
              <w:rPr>
                <w:rFonts w:ascii="Arial" w:eastAsia="Calibri" w:hAnsi="Arial" w:cs="Arial"/>
                <w:i/>
                <w:noProof/>
                <w:sz w:val="18"/>
                <w:szCs w:val="20"/>
              </w:rPr>
            </w:pPr>
            <w:r w:rsidRPr="001D50E3">
              <w:rPr>
                <w:rFonts w:ascii="Arial" w:eastAsia="Calibri" w:hAnsi="Arial" w:cs="Arial"/>
                <w:i/>
                <w:noProof/>
                <w:sz w:val="18"/>
                <w:szCs w:val="20"/>
              </w:rPr>
              <w:t>2 014 223,25</w:t>
            </w:r>
          </w:p>
        </w:tc>
        <w:tc>
          <w:tcPr>
            <w:tcW w:w="1264" w:type="dxa"/>
            <w:gridSpan w:val="2"/>
            <w:tcBorders>
              <w:top w:val="nil"/>
              <w:left w:val="nil"/>
              <w:bottom w:val="single" w:sz="4" w:space="0" w:color="auto"/>
              <w:right w:val="single" w:sz="4" w:space="0" w:color="auto"/>
            </w:tcBorders>
            <w:vAlign w:val="bottom"/>
            <w:hideMark/>
          </w:tcPr>
          <w:p w:rsidR="00FF2EC0" w:rsidRPr="001D50E3" w:rsidRDefault="00FF2EC0" w:rsidP="00754C28">
            <w:pPr>
              <w:spacing w:after="120"/>
              <w:jc w:val="both"/>
              <w:rPr>
                <w:rFonts w:ascii="Arial" w:eastAsia="Calibri" w:hAnsi="Arial" w:cs="Arial"/>
                <w:i/>
                <w:noProof/>
                <w:sz w:val="18"/>
                <w:szCs w:val="20"/>
              </w:rPr>
            </w:pPr>
            <w:r w:rsidRPr="001D50E3">
              <w:rPr>
                <w:rFonts w:ascii="Arial" w:eastAsia="Calibri" w:hAnsi="Arial" w:cs="Arial"/>
                <w:i/>
                <w:noProof/>
                <w:sz w:val="18"/>
                <w:szCs w:val="20"/>
              </w:rPr>
              <w:t>2 054 507,80</w:t>
            </w:r>
          </w:p>
        </w:tc>
        <w:tc>
          <w:tcPr>
            <w:tcW w:w="1405" w:type="dxa"/>
            <w:tcBorders>
              <w:top w:val="nil"/>
              <w:left w:val="nil"/>
              <w:bottom w:val="single" w:sz="4" w:space="0" w:color="auto"/>
              <w:right w:val="single" w:sz="4" w:space="0" w:color="auto"/>
            </w:tcBorders>
            <w:vAlign w:val="bottom"/>
            <w:hideMark/>
          </w:tcPr>
          <w:p w:rsidR="00FF2EC0" w:rsidRPr="001D50E3" w:rsidRDefault="00FF2EC0" w:rsidP="00754C28">
            <w:pPr>
              <w:spacing w:after="120"/>
              <w:jc w:val="both"/>
              <w:rPr>
                <w:rFonts w:ascii="Arial" w:eastAsia="Calibri" w:hAnsi="Arial" w:cs="Arial"/>
                <w:i/>
                <w:noProof/>
                <w:sz w:val="18"/>
                <w:szCs w:val="20"/>
              </w:rPr>
            </w:pPr>
            <w:r w:rsidRPr="001D50E3">
              <w:rPr>
                <w:rFonts w:ascii="Arial" w:eastAsia="Calibri" w:hAnsi="Arial" w:cs="Arial"/>
                <w:i/>
                <w:noProof/>
                <w:sz w:val="18"/>
                <w:szCs w:val="20"/>
              </w:rPr>
              <w:t>13 562 691,00</w:t>
            </w:r>
          </w:p>
        </w:tc>
      </w:tr>
      <w:tr w:rsidR="008768C7" w:rsidRPr="001D50E3" w:rsidTr="008768C7">
        <w:tc>
          <w:tcPr>
            <w:tcW w:w="1833" w:type="dxa"/>
            <w:tcBorders>
              <w:top w:val="single" w:sz="4" w:space="0" w:color="auto"/>
              <w:left w:val="single" w:sz="4" w:space="0" w:color="auto"/>
              <w:bottom w:val="single" w:sz="4" w:space="0" w:color="auto"/>
              <w:right w:val="single" w:sz="4" w:space="0" w:color="auto"/>
            </w:tcBorders>
            <w:hideMark/>
          </w:tcPr>
          <w:p w:rsidR="00FF2EC0" w:rsidRPr="001D50E3" w:rsidRDefault="00FF2EC0" w:rsidP="00754C28">
            <w:pPr>
              <w:spacing w:after="120"/>
              <w:jc w:val="both"/>
              <w:rPr>
                <w:rFonts w:ascii="Arial" w:eastAsia="Calibri" w:hAnsi="Arial" w:cs="Arial"/>
                <w:i/>
                <w:noProof/>
                <w:sz w:val="18"/>
                <w:szCs w:val="20"/>
              </w:rPr>
            </w:pPr>
            <w:r w:rsidRPr="001D50E3">
              <w:rPr>
                <w:rFonts w:ascii="Arial" w:eastAsia="Calibri" w:hAnsi="Arial" w:cs="Arial"/>
                <w:i/>
                <w:noProof/>
                <w:sz w:val="18"/>
                <w:szCs w:val="20"/>
              </w:rPr>
              <w:t>IPA III PGS1</w:t>
            </w:r>
          </w:p>
        </w:tc>
        <w:tc>
          <w:tcPr>
            <w:tcW w:w="617" w:type="dxa"/>
            <w:tcBorders>
              <w:top w:val="nil"/>
              <w:left w:val="single" w:sz="4" w:space="0" w:color="auto"/>
              <w:bottom w:val="single" w:sz="4" w:space="0" w:color="auto"/>
              <w:right w:val="single" w:sz="4" w:space="0" w:color="auto"/>
            </w:tcBorders>
            <w:vAlign w:val="bottom"/>
            <w:hideMark/>
          </w:tcPr>
          <w:p w:rsidR="00FF2EC0" w:rsidRPr="001D50E3" w:rsidRDefault="00FF2EC0" w:rsidP="00754C28">
            <w:pPr>
              <w:spacing w:after="120"/>
              <w:jc w:val="both"/>
              <w:rPr>
                <w:rFonts w:ascii="Arial" w:eastAsia="Calibri" w:hAnsi="Arial" w:cs="Arial"/>
                <w:i/>
                <w:noProof/>
                <w:sz w:val="18"/>
                <w:szCs w:val="20"/>
              </w:rPr>
            </w:pPr>
            <w:r w:rsidRPr="001D50E3">
              <w:rPr>
                <w:rFonts w:ascii="Arial" w:eastAsia="Calibri" w:hAnsi="Arial" w:cs="Arial"/>
                <w:i/>
                <w:noProof/>
                <w:sz w:val="18"/>
                <w:szCs w:val="20"/>
              </w:rPr>
              <w:t> </w:t>
            </w:r>
          </w:p>
        </w:tc>
        <w:tc>
          <w:tcPr>
            <w:tcW w:w="1362" w:type="dxa"/>
            <w:gridSpan w:val="2"/>
            <w:tcBorders>
              <w:top w:val="nil"/>
              <w:left w:val="nil"/>
              <w:bottom w:val="single" w:sz="4" w:space="0" w:color="auto"/>
              <w:right w:val="single" w:sz="4" w:space="0" w:color="auto"/>
            </w:tcBorders>
            <w:vAlign w:val="bottom"/>
            <w:hideMark/>
          </w:tcPr>
          <w:p w:rsidR="00FF2EC0" w:rsidRPr="001D50E3" w:rsidRDefault="00FF2EC0" w:rsidP="00754C28">
            <w:pPr>
              <w:spacing w:after="120"/>
              <w:jc w:val="both"/>
              <w:rPr>
                <w:rFonts w:ascii="Arial" w:eastAsia="Calibri" w:hAnsi="Arial" w:cs="Arial"/>
                <w:i/>
                <w:noProof/>
                <w:sz w:val="18"/>
                <w:szCs w:val="20"/>
              </w:rPr>
            </w:pPr>
            <w:r w:rsidRPr="001D50E3">
              <w:rPr>
                <w:rFonts w:ascii="Arial" w:eastAsia="Calibri" w:hAnsi="Arial" w:cs="Arial"/>
                <w:i/>
                <w:noProof/>
                <w:sz w:val="18"/>
                <w:szCs w:val="20"/>
              </w:rPr>
              <w:t> </w:t>
            </w:r>
          </w:p>
        </w:tc>
        <w:tc>
          <w:tcPr>
            <w:tcW w:w="1291" w:type="dxa"/>
            <w:gridSpan w:val="2"/>
            <w:tcBorders>
              <w:top w:val="nil"/>
              <w:left w:val="nil"/>
              <w:bottom w:val="single" w:sz="4" w:space="0" w:color="auto"/>
              <w:right w:val="single" w:sz="4" w:space="0" w:color="auto"/>
            </w:tcBorders>
            <w:vAlign w:val="bottom"/>
            <w:hideMark/>
          </w:tcPr>
          <w:p w:rsidR="00FF2EC0" w:rsidRPr="001D50E3" w:rsidRDefault="00FF2EC0" w:rsidP="00754C28">
            <w:pPr>
              <w:spacing w:after="120"/>
              <w:jc w:val="both"/>
              <w:rPr>
                <w:rFonts w:ascii="Arial" w:eastAsia="Calibri" w:hAnsi="Arial" w:cs="Arial"/>
                <w:i/>
                <w:noProof/>
                <w:sz w:val="18"/>
                <w:szCs w:val="20"/>
              </w:rPr>
            </w:pPr>
            <w:r w:rsidRPr="001D50E3">
              <w:rPr>
                <w:rFonts w:ascii="Arial" w:eastAsia="Calibri" w:hAnsi="Arial" w:cs="Arial"/>
                <w:i/>
                <w:noProof/>
                <w:sz w:val="18"/>
                <w:szCs w:val="20"/>
              </w:rPr>
              <w:t> </w:t>
            </w:r>
          </w:p>
        </w:tc>
        <w:tc>
          <w:tcPr>
            <w:tcW w:w="1276" w:type="dxa"/>
            <w:tcBorders>
              <w:top w:val="nil"/>
              <w:left w:val="nil"/>
              <w:bottom w:val="single" w:sz="4" w:space="0" w:color="auto"/>
              <w:right w:val="single" w:sz="4" w:space="0" w:color="auto"/>
            </w:tcBorders>
            <w:vAlign w:val="bottom"/>
            <w:hideMark/>
          </w:tcPr>
          <w:p w:rsidR="00FF2EC0" w:rsidRPr="001D50E3" w:rsidRDefault="00FF2EC0" w:rsidP="00754C28">
            <w:pPr>
              <w:spacing w:after="120"/>
              <w:jc w:val="both"/>
              <w:rPr>
                <w:rFonts w:ascii="Arial" w:eastAsia="Calibri" w:hAnsi="Arial" w:cs="Arial"/>
                <w:i/>
                <w:noProof/>
                <w:sz w:val="18"/>
                <w:szCs w:val="20"/>
              </w:rPr>
            </w:pPr>
            <w:r w:rsidRPr="001D50E3">
              <w:rPr>
                <w:rFonts w:ascii="Arial" w:eastAsia="Calibri" w:hAnsi="Arial" w:cs="Arial"/>
                <w:i/>
                <w:noProof/>
                <w:sz w:val="18"/>
                <w:szCs w:val="20"/>
              </w:rPr>
              <w:t> </w:t>
            </w:r>
          </w:p>
        </w:tc>
        <w:tc>
          <w:tcPr>
            <w:tcW w:w="1308" w:type="dxa"/>
            <w:gridSpan w:val="2"/>
            <w:tcBorders>
              <w:top w:val="nil"/>
              <w:left w:val="nil"/>
              <w:bottom w:val="single" w:sz="4" w:space="0" w:color="auto"/>
              <w:right w:val="single" w:sz="4" w:space="0" w:color="auto"/>
            </w:tcBorders>
            <w:vAlign w:val="bottom"/>
            <w:hideMark/>
          </w:tcPr>
          <w:p w:rsidR="00FF2EC0" w:rsidRPr="001D50E3" w:rsidRDefault="00FF2EC0" w:rsidP="00754C28">
            <w:pPr>
              <w:spacing w:after="120"/>
              <w:jc w:val="both"/>
              <w:rPr>
                <w:rFonts w:ascii="Arial" w:eastAsia="Calibri" w:hAnsi="Arial" w:cs="Arial"/>
                <w:i/>
                <w:noProof/>
                <w:sz w:val="18"/>
                <w:szCs w:val="20"/>
              </w:rPr>
            </w:pPr>
            <w:r w:rsidRPr="001D50E3">
              <w:rPr>
                <w:rFonts w:ascii="Arial" w:eastAsia="Calibri" w:hAnsi="Arial" w:cs="Arial"/>
                <w:i/>
                <w:noProof/>
                <w:sz w:val="18"/>
                <w:szCs w:val="20"/>
              </w:rPr>
              <w:t> </w:t>
            </w:r>
          </w:p>
        </w:tc>
        <w:tc>
          <w:tcPr>
            <w:tcW w:w="1268" w:type="dxa"/>
            <w:gridSpan w:val="2"/>
            <w:tcBorders>
              <w:top w:val="nil"/>
              <w:left w:val="nil"/>
              <w:bottom w:val="single" w:sz="4" w:space="0" w:color="auto"/>
              <w:right w:val="single" w:sz="4" w:space="0" w:color="auto"/>
            </w:tcBorders>
            <w:vAlign w:val="bottom"/>
            <w:hideMark/>
          </w:tcPr>
          <w:p w:rsidR="00FF2EC0" w:rsidRPr="001D50E3" w:rsidRDefault="00FF2EC0" w:rsidP="00754C28">
            <w:pPr>
              <w:spacing w:after="120"/>
              <w:jc w:val="both"/>
              <w:rPr>
                <w:rFonts w:ascii="Arial" w:eastAsia="Calibri" w:hAnsi="Arial" w:cs="Arial"/>
                <w:i/>
                <w:noProof/>
                <w:sz w:val="18"/>
                <w:szCs w:val="20"/>
              </w:rPr>
            </w:pPr>
            <w:r w:rsidRPr="001D50E3">
              <w:rPr>
                <w:rFonts w:ascii="Arial" w:eastAsia="Calibri" w:hAnsi="Arial" w:cs="Arial"/>
                <w:i/>
                <w:noProof/>
                <w:sz w:val="18"/>
                <w:szCs w:val="20"/>
              </w:rPr>
              <w:t> </w:t>
            </w:r>
          </w:p>
        </w:tc>
        <w:tc>
          <w:tcPr>
            <w:tcW w:w="1264" w:type="dxa"/>
            <w:gridSpan w:val="2"/>
            <w:tcBorders>
              <w:top w:val="nil"/>
              <w:left w:val="nil"/>
              <w:bottom w:val="single" w:sz="4" w:space="0" w:color="auto"/>
              <w:right w:val="single" w:sz="4" w:space="0" w:color="auto"/>
            </w:tcBorders>
            <w:vAlign w:val="bottom"/>
            <w:hideMark/>
          </w:tcPr>
          <w:p w:rsidR="00FF2EC0" w:rsidRPr="001D50E3" w:rsidRDefault="00FF2EC0" w:rsidP="00754C28">
            <w:pPr>
              <w:spacing w:after="120"/>
              <w:jc w:val="both"/>
              <w:rPr>
                <w:rFonts w:ascii="Arial" w:eastAsia="Calibri" w:hAnsi="Arial" w:cs="Arial"/>
                <w:i/>
                <w:noProof/>
                <w:sz w:val="18"/>
                <w:szCs w:val="20"/>
              </w:rPr>
            </w:pPr>
            <w:r w:rsidRPr="001D50E3">
              <w:rPr>
                <w:rFonts w:ascii="Arial" w:eastAsia="Calibri" w:hAnsi="Arial" w:cs="Arial"/>
                <w:i/>
                <w:noProof/>
                <w:sz w:val="18"/>
                <w:szCs w:val="20"/>
              </w:rPr>
              <w:t> </w:t>
            </w:r>
          </w:p>
        </w:tc>
        <w:tc>
          <w:tcPr>
            <w:tcW w:w="1405" w:type="dxa"/>
            <w:tcBorders>
              <w:top w:val="nil"/>
              <w:left w:val="nil"/>
              <w:bottom w:val="single" w:sz="4" w:space="0" w:color="auto"/>
              <w:right w:val="single" w:sz="4" w:space="0" w:color="auto"/>
            </w:tcBorders>
            <w:vAlign w:val="bottom"/>
            <w:hideMark/>
          </w:tcPr>
          <w:p w:rsidR="00FF2EC0" w:rsidRPr="001D50E3" w:rsidRDefault="00FF2EC0" w:rsidP="00754C28">
            <w:pPr>
              <w:spacing w:after="120"/>
              <w:jc w:val="both"/>
              <w:rPr>
                <w:rFonts w:ascii="Arial" w:eastAsia="Calibri" w:hAnsi="Arial" w:cs="Arial"/>
                <w:i/>
                <w:noProof/>
                <w:sz w:val="18"/>
                <w:szCs w:val="20"/>
              </w:rPr>
            </w:pPr>
            <w:r w:rsidRPr="001D50E3">
              <w:rPr>
                <w:rFonts w:ascii="Arial" w:eastAsia="Calibri" w:hAnsi="Arial" w:cs="Arial"/>
                <w:i/>
                <w:noProof/>
                <w:sz w:val="18"/>
                <w:szCs w:val="20"/>
              </w:rPr>
              <w:t> </w:t>
            </w:r>
          </w:p>
        </w:tc>
      </w:tr>
      <w:tr w:rsidR="008768C7" w:rsidRPr="001D50E3" w:rsidTr="008768C7">
        <w:tc>
          <w:tcPr>
            <w:tcW w:w="1833" w:type="dxa"/>
            <w:tcBorders>
              <w:top w:val="single" w:sz="4" w:space="0" w:color="auto"/>
              <w:left w:val="single" w:sz="4" w:space="0" w:color="auto"/>
              <w:bottom w:val="single" w:sz="4" w:space="0" w:color="auto"/>
              <w:right w:val="single" w:sz="4" w:space="0" w:color="auto"/>
            </w:tcBorders>
            <w:hideMark/>
          </w:tcPr>
          <w:p w:rsidR="00FF2EC0" w:rsidRPr="001D50E3" w:rsidRDefault="00FF2EC0" w:rsidP="00754C28">
            <w:pPr>
              <w:spacing w:after="120"/>
              <w:jc w:val="both"/>
              <w:rPr>
                <w:rFonts w:ascii="Arial" w:eastAsia="Calibri" w:hAnsi="Arial" w:cs="Arial"/>
                <w:i/>
                <w:noProof/>
                <w:sz w:val="18"/>
                <w:szCs w:val="20"/>
              </w:rPr>
            </w:pPr>
            <w:r w:rsidRPr="001D50E3">
              <w:rPr>
                <w:rFonts w:ascii="Arial" w:eastAsia="Calibri" w:hAnsi="Arial" w:cs="Arial"/>
                <w:i/>
                <w:noProof/>
                <w:sz w:val="18"/>
                <w:szCs w:val="20"/>
              </w:rPr>
              <w:t>CBC1 në lagje</w:t>
            </w:r>
          </w:p>
        </w:tc>
        <w:tc>
          <w:tcPr>
            <w:tcW w:w="617" w:type="dxa"/>
            <w:tcBorders>
              <w:top w:val="nil"/>
              <w:left w:val="single" w:sz="4" w:space="0" w:color="auto"/>
              <w:bottom w:val="single" w:sz="4" w:space="0" w:color="auto"/>
              <w:right w:val="single" w:sz="4" w:space="0" w:color="auto"/>
            </w:tcBorders>
            <w:vAlign w:val="bottom"/>
            <w:hideMark/>
          </w:tcPr>
          <w:p w:rsidR="00FF2EC0" w:rsidRPr="001D50E3" w:rsidRDefault="00FF2EC0" w:rsidP="00754C28">
            <w:pPr>
              <w:spacing w:after="120"/>
              <w:jc w:val="both"/>
              <w:rPr>
                <w:rFonts w:ascii="Arial" w:eastAsia="Calibri" w:hAnsi="Arial" w:cs="Arial"/>
                <w:i/>
                <w:noProof/>
                <w:sz w:val="18"/>
                <w:szCs w:val="20"/>
              </w:rPr>
            </w:pPr>
            <w:r w:rsidRPr="001D50E3">
              <w:rPr>
                <w:rFonts w:ascii="Arial" w:eastAsia="Calibri" w:hAnsi="Arial" w:cs="Arial"/>
                <w:i/>
                <w:noProof/>
                <w:sz w:val="18"/>
                <w:szCs w:val="20"/>
              </w:rPr>
              <w:t> </w:t>
            </w:r>
          </w:p>
        </w:tc>
        <w:tc>
          <w:tcPr>
            <w:tcW w:w="1362" w:type="dxa"/>
            <w:gridSpan w:val="2"/>
            <w:tcBorders>
              <w:top w:val="nil"/>
              <w:left w:val="nil"/>
              <w:bottom w:val="single" w:sz="4" w:space="0" w:color="auto"/>
              <w:right w:val="single" w:sz="4" w:space="0" w:color="auto"/>
            </w:tcBorders>
            <w:vAlign w:val="bottom"/>
            <w:hideMark/>
          </w:tcPr>
          <w:p w:rsidR="00FF2EC0" w:rsidRPr="001D50E3" w:rsidRDefault="00FF2EC0" w:rsidP="00754C28">
            <w:pPr>
              <w:spacing w:after="120"/>
              <w:jc w:val="both"/>
              <w:rPr>
                <w:rFonts w:ascii="Arial" w:eastAsia="Calibri" w:hAnsi="Arial" w:cs="Arial"/>
                <w:i/>
                <w:noProof/>
                <w:sz w:val="18"/>
                <w:szCs w:val="20"/>
              </w:rPr>
            </w:pPr>
            <w:r w:rsidRPr="001D50E3">
              <w:rPr>
                <w:rFonts w:ascii="Arial" w:eastAsia="Calibri" w:hAnsi="Arial" w:cs="Arial"/>
                <w:i/>
                <w:noProof/>
                <w:sz w:val="18"/>
                <w:szCs w:val="20"/>
              </w:rPr>
              <w:t> </w:t>
            </w:r>
          </w:p>
        </w:tc>
        <w:tc>
          <w:tcPr>
            <w:tcW w:w="1291" w:type="dxa"/>
            <w:gridSpan w:val="2"/>
            <w:tcBorders>
              <w:top w:val="nil"/>
              <w:left w:val="nil"/>
              <w:bottom w:val="single" w:sz="4" w:space="0" w:color="auto"/>
              <w:right w:val="single" w:sz="4" w:space="0" w:color="auto"/>
            </w:tcBorders>
            <w:vAlign w:val="bottom"/>
            <w:hideMark/>
          </w:tcPr>
          <w:p w:rsidR="00FF2EC0" w:rsidRPr="001D50E3" w:rsidRDefault="00FF2EC0" w:rsidP="00754C28">
            <w:pPr>
              <w:spacing w:after="120"/>
              <w:jc w:val="both"/>
              <w:rPr>
                <w:rFonts w:ascii="Arial" w:eastAsia="Calibri" w:hAnsi="Arial" w:cs="Arial"/>
                <w:i/>
                <w:noProof/>
                <w:sz w:val="18"/>
                <w:szCs w:val="20"/>
              </w:rPr>
            </w:pPr>
            <w:r w:rsidRPr="001D50E3">
              <w:rPr>
                <w:rFonts w:ascii="Arial" w:eastAsia="Calibri" w:hAnsi="Arial" w:cs="Arial"/>
                <w:i/>
                <w:noProof/>
                <w:sz w:val="18"/>
                <w:szCs w:val="20"/>
              </w:rPr>
              <w:t> </w:t>
            </w:r>
          </w:p>
        </w:tc>
        <w:tc>
          <w:tcPr>
            <w:tcW w:w="1276" w:type="dxa"/>
            <w:tcBorders>
              <w:top w:val="nil"/>
              <w:left w:val="nil"/>
              <w:bottom w:val="single" w:sz="4" w:space="0" w:color="auto"/>
              <w:right w:val="single" w:sz="4" w:space="0" w:color="auto"/>
            </w:tcBorders>
            <w:vAlign w:val="bottom"/>
            <w:hideMark/>
          </w:tcPr>
          <w:p w:rsidR="00FF2EC0" w:rsidRPr="001D50E3" w:rsidRDefault="00FF2EC0" w:rsidP="00754C28">
            <w:pPr>
              <w:spacing w:after="120"/>
              <w:jc w:val="both"/>
              <w:rPr>
                <w:rFonts w:ascii="Arial" w:eastAsia="Calibri" w:hAnsi="Arial" w:cs="Arial"/>
                <w:i/>
                <w:noProof/>
                <w:sz w:val="18"/>
                <w:szCs w:val="20"/>
              </w:rPr>
            </w:pPr>
            <w:r w:rsidRPr="001D50E3">
              <w:rPr>
                <w:rFonts w:ascii="Arial" w:eastAsia="Calibri" w:hAnsi="Arial" w:cs="Arial"/>
                <w:i/>
                <w:noProof/>
                <w:sz w:val="18"/>
                <w:szCs w:val="20"/>
              </w:rPr>
              <w:t> </w:t>
            </w:r>
          </w:p>
        </w:tc>
        <w:tc>
          <w:tcPr>
            <w:tcW w:w="1308" w:type="dxa"/>
            <w:gridSpan w:val="2"/>
            <w:tcBorders>
              <w:top w:val="nil"/>
              <w:left w:val="nil"/>
              <w:bottom w:val="single" w:sz="4" w:space="0" w:color="auto"/>
              <w:right w:val="single" w:sz="4" w:space="0" w:color="auto"/>
            </w:tcBorders>
            <w:vAlign w:val="bottom"/>
            <w:hideMark/>
          </w:tcPr>
          <w:p w:rsidR="00FF2EC0" w:rsidRPr="001D50E3" w:rsidRDefault="00FF2EC0" w:rsidP="00754C28">
            <w:pPr>
              <w:spacing w:after="120"/>
              <w:jc w:val="both"/>
              <w:rPr>
                <w:rFonts w:ascii="Arial" w:eastAsia="Calibri" w:hAnsi="Arial" w:cs="Arial"/>
                <w:i/>
                <w:noProof/>
                <w:sz w:val="18"/>
                <w:szCs w:val="20"/>
              </w:rPr>
            </w:pPr>
            <w:r w:rsidRPr="001D50E3">
              <w:rPr>
                <w:rFonts w:ascii="Arial" w:eastAsia="Calibri" w:hAnsi="Arial" w:cs="Arial"/>
                <w:i/>
                <w:noProof/>
                <w:sz w:val="18"/>
                <w:szCs w:val="20"/>
              </w:rPr>
              <w:t> </w:t>
            </w:r>
          </w:p>
        </w:tc>
        <w:tc>
          <w:tcPr>
            <w:tcW w:w="1268" w:type="dxa"/>
            <w:gridSpan w:val="2"/>
            <w:tcBorders>
              <w:top w:val="nil"/>
              <w:left w:val="nil"/>
              <w:bottom w:val="single" w:sz="4" w:space="0" w:color="auto"/>
              <w:right w:val="single" w:sz="4" w:space="0" w:color="auto"/>
            </w:tcBorders>
            <w:vAlign w:val="bottom"/>
            <w:hideMark/>
          </w:tcPr>
          <w:p w:rsidR="00FF2EC0" w:rsidRPr="001D50E3" w:rsidRDefault="00FF2EC0" w:rsidP="00754C28">
            <w:pPr>
              <w:spacing w:after="120"/>
              <w:jc w:val="both"/>
              <w:rPr>
                <w:rFonts w:ascii="Arial" w:eastAsia="Calibri" w:hAnsi="Arial" w:cs="Arial"/>
                <w:i/>
                <w:noProof/>
                <w:sz w:val="18"/>
                <w:szCs w:val="20"/>
              </w:rPr>
            </w:pPr>
            <w:r w:rsidRPr="001D50E3">
              <w:rPr>
                <w:rFonts w:ascii="Arial" w:eastAsia="Calibri" w:hAnsi="Arial" w:cs="Arial"/>
                <w:i/>
                <w:noProof/>
                <w:sz w:val="18"/>
                <w:szCs w:val="20"/>
              </w:rPr>
              <w:t> </w:t>
            </w:r>
          </w:p>
        </w:tc>
        <w:tc>
          <w:tcPr>
            <w:tcW w:w="1264" w:type="dxa"/>
            <w:gridSpan w:val="2"/>
            <w:tcBorders>
              <w:top w:val="nil"/>
              <w:left w:val="nil"/>
              <w:bottom w:val="single" w:sz="4" w:space="0" w:color="auto"/>
              <w:right w:val="single" w:sz="4" w:space="0" w:color="auto"/>
            </w:tcBorders>
            <w:vAlign w:val="bottom"/>
            <w:hideMark/>
          </w:tcPr>
          <w:p w:rsidR="00FF2EC0" w:rsidRPr="001D50E3" w:rsidRDefault="00FF2EC0" w:rsidP="00754C28">
            <w:pPr>
              <w:spacing w:after="120"/>
              <w:jc w:val="both"/>
              <w:rPr>
                <w:rFonts w:ascii="Arial" w:eastAsia="Calibri" w:hAnsi="Arial" w:cs="Arial"/>
                <w:i/>
                <w:noProof/>
                <w:sz w:val="18"/>
                <w:szCs w:val="20"/>
              </w:rPr>
            </w:pPr>
            <w:r w:rsidRPr="001D50E3">
              <w:rPr>
                <w:rFonts w:ascii="Arial" w:eastAsia="Calibri" w:hAnsi="Arial" w:cs="Arial"/>
                <w:i/>
                <w:noProof/>
                <w:sz w:val="18"/>
                <w:szCs w:val="20"/>
              </w:rPr>
              <w:t> </w:t>
            </w:r>
          </w:p>
        </w:tc>
        <w:tc>
          <w:tcPr>
            <w:tcW w:w="1405" w:type="dxa"/>
            <w:tcBorders>
              <w:top w:val="nil"/>
              <w:left w:val="nil"/>
              <w:bottom w:val="single" w:sz="4" w:space="0" w:color="auto"/>
              <w:right w:val="single" w:sz="4" w:space="0" w:color="auto"/>
            </w:tcBorders>
            <w:vAlign w:val="bottom"/>
            <w:hideMark/>
          </w:tcPr>
          <w:p w:rsidR="00FF2EC0" w:rsidRPr="001D50E3" w:rsidRDefault="00FF2EC0" w:rsidP="00754C28">
            <w:pPr>
              <w:spacing w:after="120"/>
              <w:jc w:val="both"/>
              <w:rPr>
                <w:rFonts w:ascii="Arial" w:eastAsia="Calibri" w:hAnsi="Arial" w:cs="Arial"/>
                <w:i/>
                <w:noProof/>
                <w:sz w:val="18"/>
                <w:szCs w:val="20"/>
              </w:rPr>
            </w:pPr>
            <w:r w:rsidRPr="001D50E3">
              <w:rPr>
                <w:rFonts w:ascii="Arial" w:eastAsia="Calibri" w:hAnsi="Arial" w:cs="Arial"/>
                <w:i/>
                <w:noProof/>
                <w:sz w:val="18"/>
                <w:szCs w:val="20"/>
              </w:rPr>
              <w:t> </w:t>
            </w:r>
          </w:p>
        </w:tc>
      </w:tr>
      <w:tr w:rsidR="008768C7" w:rsidRPr="001D50E3" w:rsidTr="008768C7">
        <w:tc>
          <w:tcPr>
            <w:tcW w:w="1833" w:type="dxa"/>
            <w:tcBorders>
              <w:top w:val="single" w:sz="4" w:space="0" w:color="auto"/>
              <w:left w:val="single" w:sz="4" w:space="0" w:color="auto"/>
              <w:bottom w:val="single" w:sz="4" w:space="0" w:color="auto"/>
              <w:right w:val="single" w:sz="4" w:space="0" w:color="auto"/>
            </w:tcBorders>
            <w:hideMark/>
          </w:tcPr>
          <w:p w:rsidR="00FF2EC0" w:rsidRPr="001D50E3" w:rsidRDefault="00FF2EC0" w:rsidP="00754C28">
            <w:pPr>
              <w:spacing w:after="120"/>
              <w:jc w:val="both"/>
              <w:rPr>
                <w:rFonts w:ascii="Arial" w:eastAsia="Calibri" w:hAnsi="Arial" w:cs="Arial"/>
                <w:i/>
                <w:noProof/>
                <w:sz w:val="18"/>
                <w:szCs w:val="20"/>
              </w:rPr>
            </w:pPr>
            <w:r w:rsidRPr="001D50E3">
              <w:rPr>
                <w:rFonts w:ascii="Arial" w:eastAsia="Calibri" w:hAnsi="Arial" w:cs="Arial"/>
                <w:i/>
                <w:noProof/>
                <w:sz w:val="18"/>
                <w:szCs w:val="20"/>
                <w:lang w:val="sq-AL"/>
              </w:rPr>
              <w:t>IPA</w:t>
            </w:r>
            <w:r w:rsidRPr="001D50E3">
              <w:rPr>
                <w:rFonts w:ascii="Arial" w:eastAsia="Calibri" w:hAnsi="Arial" w:cs="Arial"/>
                <w:i/>
                <w:noProof/>
                <w:sz w:val="18"/>
                <w:szCs w:val="20"/>
              </w:rPr>
              <w:t> III</w:t>
            </w:r>
            <w:r w:rsidRPr="001D50E3">
              <w:rPr>
                <w:rFonts w:ascii="Arial" w:eastAsia="Calibri" w:hAnsi="Arial" w:cs="Arial"/>
                <w:i/>
                <w:noProof/>
                <w:sz w:val="18"/>
                <w:szCs w:val="20"/>
                <w:vertAlign w:val="superscript"/>
              </w:rPr>
              <w:footnoteReference w:id="1"/>
            </w:r>
          </w:p>
        </w:tc>
        <w:tc>
          <w:tcPr>
            <w:tcW w:w="617" w:type="dxa"/>
            <w:tcBorders>
              <w:top w:val="nil"/>
              <w:left w:val="single" w:sz="4" w:space="0" w:color="auto"/>
              <w:bottom w:val="single" w:sz="4" w:space="0" w:color="auto"/>
              <w:right w:val="single" w:sz="4" w:space="0" w:color="auto"/>
            </w:tcBorders>
            <w:vAlign w:val="bottom"/>
            <w:hideMark/>
          </w:tcPr>
          <w:p w:rsidR="00FF2EC0" w:rsidRPr="001D50E3" w:rsidRDefault="00FF2EC0" w:rsidP="00754C28">
            <w:pPr>
              <w:spacing w:after="120"/>
              <w:jc w:val="both"/>
              <w:rPr>
                <w:rFonts w:ascii="Arial" w:eastAsia="Calibri" w:hAnsi="Arial" w:cs="Arial"/>
                <w:i/>
                <w:noProof/>
                <w:sz w:val="18"/>
                <w:szCs w:val="20"/>
              </w:rPr>
            </w:pPr>
            <w:r w:rsidRPr="001D50E3">
              <w:rPr>
                <w:rFonts w:ascii="Arial" w:eastAsia="Calibri" w:hAnsi="Arial" w:cs="Arial"/>
                <w:i/>
                <w:noProof/>
                <w:sz w:val="18"/>
                <w:szCs w:val="20"/>
              </w:rPr>
              <w:t> </w:t>
            </w:r>
          </w:p>
        </w:tc>
        <w:tc>
          <w:tcPr>
            <w:tcW w:w="1362" w:type="dxa"/>
            <w:gridSpan w:val="2"/>
            <w:tcBorders>
              <w:top w:val="nil"/>
              <w:left w:val="nil"/>
              <w:bottom w:val="single" w:sz="4" w:space="0" w:color="auto"/>
              <w:right w:val="single" w:sz="4" w:space="0" w:color="auto"/>
            </w:tcBorders>
            <w:vAlign w:val="bottom"/>
            <w:hideMark/>
          </w:tcPr>
          <w:p w:rsidR="00FF2EC0" w:rsidRPr="001D50E3" w:rsidRDefault="00FF2EC0" w:rsidP="00754C28">
            <w:pPr>
              <w:spacing w:after="120"/>
              <w:jc w:val="both"/>
              <w:rPr>
                <w:rFonts w:ascii="Arial" w:eastAsia="Calibri" w:hAnsi="Arial" w:cs="Arial"/>
                <w:i/>
                <w:noProof/>
                <w:sz w:val="18"/>
                <w:szCs w:val="20"/>
              </w:rPr>
            </w:pPr>
            <w:r w:rsidRPr="001D50E3">
              <w:rPr>
                <w:rFonts w:ascii="Arial" w:eastAsia="Calibri" w:hAnsi="Arial" w:cs="Arial"/>
                <w:i/>
                <w:noProof/>
                <w:sz w:val="18"/>
                <w:szCs w:val="20"/>
              </w:rPr>
              <w:t> </w:t>
            </w:r>
          </w:p>
        </w:tc>
        <w:tc>
          <w:tcPr>
            <w:tcW w:w="1291" w:type="dxa"/>
            <w:gridSpan w:val="2"/>
            <w:tcBorders>
              <w:top w:val="nil"/>
              <w:left w:val="nil"/>
              <w:bottom w:val="single" w:sz="4" w:space="0" w:color="auto"/>
              <w:right w:val="single" w:sz="4" w:space="0" w:color="auto"/>
            </w:tcBorders>
            <w:vAlign w:val="bottom"/>
            <w:hideMark/>
          </w:tcPr>
          <w:p w:rsidR="00FF2EC0" w:rsidRPr="001D50E3" w:rsidRDefault="00FF2EC0" w:rsidP="00754C28">
            <w:pPr>
              <w:spacing w:after="120"/>
              <w:jc w:val="both"/>
              <w:rPr>
                <w:rFonts w:ascii="Arial" w:eastAsia="Calibri" w:hAnsi="Arial" w:cs="Arial"/>
                <w:i/>
                <w:noProof/>
                <w:sz w:val="18"/>
                <w:szCs w:val="20"/>
              </w:rPr>
            </w:pPr>
            <w:r w:rsidRPr="001D50E3">
              <w:rPr>
                <w:rFonts w:ascii="Arial" w:eastAsia="Calibri" w:hAnsi="Arial" w:cs="Arial"/>
                <w:i/>
                <w:noProof/>
                <w:sz w:val="18"/>
                <w:szCs w:val="20"/>
              </w:rPr>
              <w:t> </w:t>
            </w:r>
          </w:p>
        </w:tc>
        <w:tc>
          <w:tcPr>
            <w:tcW w:w="1276" w:type="dxa"/>
            <w:tcBorders>
              <w:top w:val="nil"/>
              <w:left w:val="nil"/>
              <w:bottom w:val="single" w:sz="4" w:space="0" w:color="auto"/>
              <w:right w:val="single" w:sz="4" w:space="0" w:color="auto"/>
            </w:tcBorders>
            <w:vAlign w:val="bottom"/>
            <w:hideMark/>
          </w:tcPr>
          <w:p w:rsidR="00FF2EC0" w:rsidRPr="001D50E3" w:rsidRDefault="00FF2EC0" w:rsidP="00754C28">
            <w:pPr>
              <w:spacing w:after="120"/>
              <w:jc w:val="both"/>
              <w:rPr>
                <w:rFonts w:ascii="Arial" w:eastAsia="Calibri" w:hAnsi="Arial" w:cs="Arial"/>
                <w:i/>
                <w:noProof/>
                <w:sz w:val="18"/>
                <w:szCs w:val="20"/>
              </w:rPr>
            </w:pPr>
            <w:r w:rsidRPr="001D50E3">
              <w:rPr>
                <w:rFonts w:ascii="Arial" w:eastAsia="Calibri" w:hAnsi="Arial" w:cs="Arial"/>
                <w:i/>
                <w:noProof/>
                <w:sz w:val="18"/>
                <w:szCs w:val="20"/>
              </w:rPr>
              <w:t> </w:t>
            </w:r>
          </w:p>
        </w:tc>
        <w:tc>
          <w:tcPr>
            <w:tcW w:w="1308" w:type="dxa"/>
            <w:gridSpan w:val="2"/>
            <w:tcBorders>
              <w:top w:val="nil"/>
              <w:left w:val="nil"/>
              <w:bottom w:val="single" w:sz="4" w:space="0" w:color="auto"/>
              <w:right w:val="single" w:sz="4" w:space="0" w:color="auto"/>
            </w:tcBorders>
            <w:vAlign w:val="bottom"/>
            <w:hideMark/>
          </w:tcPr>
          <w:p w:rsidR="00FF2EC0" w:rsidRPr="001D50E3" w:rsidRDefault="00FF2EC0" w:rsidP="00754C28">
            <w:pPr>
              <w:spacing w:after="120"/>
              <w:jc w:val="both"/>
              <w:rPr>
                <w:rFonts w:ascii="Arial" w:eastAsia="Calibri" w:hAnsi="Arial" w:cs="Arial"/>
                <w:i/>
                <w:noProof/>
                <w:sz w:val="18"/>
                <w:szCs w:val="20"/>
              </w:rPr>
            </w:pPr>
            <w:r w:rsidRPr="001D50E3">
              <w:rPr>
                <w:rFonts w:ascii="Arial" w:eastAsia="Calibri" w:hAnsi="Arial" w:cs="Arial"/>
                <w:i/>
                <w:noProof/>
                <w:sz w:val="18"/>
                <w:szCs w:val="20"/>
              </w:rPr>
              <w:t> </w:t>
            </w:r>
          </w:p>
        </w:tc>
        <w:tc>
          <w:tcPr>
            <w:tcW w:w="1268" w:type="dxa"/>
            <w:gridSpan w:val="2"/>
            <w:tcBorders>
              <w:top w:val="nil"/>
              <w:left w:val="nil"/>
              <w:bottom w:val="single" w:sz="4" w:space="0" w:color="auto"/>
              <w:right w:val="single" w:sz="4" w:space="0" w:color="auto"/>
            </w:tcBorders>
            <w:vAlign w:val="bottom"/>
            <w:hideMark/>
          </w:tcPr>
          <w:p w:rsidR="00FF2EC0" w:rsidRPr="001D50E3" w:rsidRDefault="00FF2EC0" w:rsidP="00754C28">
            <w:pPr>
              <w:spacing w:after="120"/>
              <w:jc w:val="both"/>
              <w:rPr>
                <w:rFonts w:ascii="Arial" w:eastAsia="Calibri" w:hAnsi="Arial" w:cs="Arial"/>
                <w:i/>
                <w:noProof/>
                <w:sz w:val="18"/>
                <w:szCs w:val="20"/>
              </w:rPr>
            </w:pPr>
            <w:r w:rsidRPr="001D50E3">
              <w:rPr>
                <w:rFonts w:ascii="Arial" w:eastAsia="Calibri" w:hAnsi="Arial" w:cs="Arial"/>
                <w:i/>
                <w:noProof/>
                <w:sz w:val="18"/>
                <w:szCs w:val="20"/>
              </w:rPr>
              <w:t> </w:t>
            </w:r>
          </w:p>
        </w:tc>
        <w:tc>
          <w:tcPr>
            <w:tcW w:w="1264" w:type="dxa"/>
            <w:gridSpan w:val="2"/>
            <w:tcBorders>
              <w:top w:val="nil"/>
              <w:left w:val="nil"/>
              <w:bottom w:val="single" w:sz="4" w:space="0" w:color="auto"/>
              <w:right w:val="single" w:sz="4" w:space="0" w:color="auto"/>
            </w:tcBorders>
            <w:vAlign w:val="bottom"/>
            <w:hideMark/>
          </w:tcPr>
          <w:p w:rsidR="00FF2EC0" w:rsidRPr="001D50E3" w:rsidRDefault="00FF2EC0" w:rsidP="00754C28">
            <w:pPr>
              <w:spacing w:after="120"/>
              <w:jc w:val="both"/>
              <w:rPr>
                <w:rFonts w:ascii="Arial" w:eastAsia="Calibri" w:hAnsi="Arial" w:cs="Arial"/>
                <w:i/>
                <w:noProof/>
                <w:sz w:val="18"/>
                <w:szCs w:val="20"/>
              </w:rPr>
            </w:pPr>
            <w:r w:rsidRPr="001D50E3">
              <w:rPr>
                <w:rFonts w:ascii="Arial" w:eastAsia="Calibri" w:hAnsi="Arial" w:cs="Arial"/>
                <w:i/>
                <w:noProof/>
                <w:sz w:val="18"/>
                <w:szCs w:val="20"/>
              </w:rPr>
              <w:t> </w:t>
            </w:r>
          </w:p>
        </w:tc>
        <w:tc>
          <w:tcPr>
            <w:tcW w:w="1405" w:type="dxa"/>
            <w:tcBorders>
              <w:top w:val="nil"/>
              <w:left w:val="nil"/>
              <w:bottom w:val="single" w:sz="4" w:space="0" w:color="auto"/>
              <w:right w:val="single" w:sz="4" w:space="0" w:color="auto"/>
            </w:tcBorders>
            <w:vAlign w:val="bottom"/>
            <w:hideMark/>
          </w:tcPr>
          <w:p w:rsidR="00FF2EC0" w:rsidRPr="001D50E3" w:rsidRDefault="00FF2EC0" w:rsidP="00754C28">
            <w:pPr>
              <w:spacing w:after="120"/>
              <w:jc w:val="both"/>
              <w:rPr>
                <w:rFonts w:ascii="Arial" w:eastAsia="Calibri" w:hAnsi="Arial" w:cs="Arial"/>
                <w:i/>
                <w:noProof/>
                <w:sz w:val="18"/>
                <w:szCs w:val="20"/>
              </w:rPr>
            </w:pPr>
            <w:r w:rsidRPr="001D50E3">
              <w:rPr>
                <w:rFonts w:ascii="Arial" w:eastAsia="Calibri" w:hAnsi="Arial" w:cs="Arial"/>
                <w:i/>
                <w:noProof/>
                <w:sz w:val="18"/>
                <w:szCs w:val="20"/>
              </w:rPr>
              <w:t> </w:t>
            </w:r>
          </w:p>
        </w:tc>
      </w:tr>
      <w:tr w:rsidR="008768C7" w:rsidRPr="001D50E3" w:rsidTr="008768C7">
        <w:tc>
          <w:tcPr>
            <w:tcW w:w="1833" w:type="dxa"/>
            <w:tcBorders>
              <w:top w:val="single" w:sz="4" w:space="0" w:color="auto"/>
              <w:left w:val="single" w:sz="4" w:space="0" w:color="auto"/>
              <w:bottom w:val="single" w:sz="4" w:space="0" w:color="auto"/>
              <w:right w:val="single" w:sz="4" w:space="0" w:color="auto"/>
            </w:tcBorders>
            <w:hideMark/>
          </w:tcPr>
          <w:p w:rsidR="00FF2EC0" w:rsidRPr="001D50E3" w:rsidRDefault="00FF2EC0" w:rsidP="00754C28">
            <w:pPr>
              <w:spacing w:after="120"/>
              <w:jc w:val="both"/>
              <w:rPr>
                <w:rFonts w:ascii="Arial" w:eastAsia="Calibri" w:hAnsi="Arial" w:cs="Arial"/>
                <w:i/>
                <w:noProof/>
                <w:sz w:val="18"/>
                <w:szCs w:val="20"/>
              </w:rPr>
            </w:pPr>
            <w:r w:rsidRPr="001D50E3">
              <w:rPr>
                <w:rFonts w:ascii="Arial" w:eastAsia="Calibri" w:hAnsi="Arial" w:cs="Arial"/>
                <w:i/>
                <w:noProof/>
                <w:sz w:val="18"/>
                <w:szCs w:val="20"/>
              </w:rPr>
              <w:t>Instrumenti për Fqinjësinë, Zhvillimin dhe Bashkëpunimin Territorial - ISRTS (NDICI)</w:t>
            </w:r>
          </w:p>
        </w:tc>
        <w:tc>
          <w:tcPr>
            <w:tcW w:w="617" w:type="dxa"/>
            <w:tcBorders>
              <w:top w:val="nil"/>
              <w:left w:val="single" w:sz="4" w:space="0" w:color="auto"/>
              <w:bottom w:val="single" w:sz="4" w:space="0" w:color="auto"/>
              <w:right w:val="single" w:sz="4" w:space="0" w:color="auto"/>
            </w:tcBorders>
            <w:vAlign w:val="bottom"/>
            <w:hideMark/>
          </w:tcPr>
          <w:p w:rsidR="00FF2EC0" w:rsidRPr="001D50E3" w:rsidRDefault="00FF2EC0" w:rsidP="00754C28">
            <w:pPr>
              <w:spacing w:after="120"/>
              <w:jc w:val="both"/>
              <w:rPr>
                <w:rFonts w:ascii="Arial" w:eastAsia="Calibri" w:hAnsi="Arial" w:cs="Arial"/>
                <w:i/>
                <w:noProof/>
                <w:sz w:val="18"/>
                <w:szCs w:val="20"/>
              </w:rPr>
            </w:pPr>
            <w:r w:rsidRPr="001D50E3">
              <w:rPr>
                <w:rFonts w:ascii="Arial" w:eastAsia="Calibri" w:hAnsi="Arial" w:cs="Arial"/>
                <w:i/>
                <w:noProof/>
                <w:sz w:val="18"/>
                <w:szCs w:val="20"/>
              </w:rPr>
              <w:t> </w:t>
            </w:r>
          </w:p>
        </w:tc>
        <w:tc>
          <w:tcPr>
            <w:tcW w:w="1362" w:type="dxa"/>
            <w:gridSpan w:val="2"/>
            <w:tcBorders>
              <w:top w:val="nil"/>
              <w:left w:val="nil"/>
              <w:bottom w:val="single" w:sz="4" w:space="0" w:color="auto"/>
              <w:right w:val="single" w:sz="4" w:space="0" w:color="auto"/>
            </w:tcBorders>
            <w:vAlign w:val="bottom"/>
            <w:hideMark/>
          </w:tcPr>
          <w:p w:rsidR="00FF2EC0" w:rsidRPr="001D50E3" w:rsidRDefault="00FF2EC0" w:rsidP="00754C28">
            <w:pPr>
              <w:spacing w:after="120"/>
              <w:jc w:val="both"/>
              <w:rPr>
                <w:rFonts w:ascii="Arial" w:eastAsia="Calibri" w:hAnsi="Arial" w:cs="Arial"/>
                <w:i/>
                <w:noProof/>
                <w:sz w:val="18"/>
                <w:szCs w:val="20"/>
              </w:rPr>
            </w:pPr>
            <w:r w:rsidRPr="001D50E3">
              <w:rPr>
                <w:rFonts w:ascii="Arial" w:eastAsia="Calibri" w:hAnsi="Arial" w:cs="Arial"/>
                <w:i/>
                <w:noProof/>
                <w:sz w:val="18"/>
                <w:szCs w:val="20"/>
              </w:rPr>
              <w:t> </w:t>
            </w:r>
          </w:p>
        </w:tc>
        <w:tc>
          <w:tcPr>
            <w:tcW w:w="1291" w:type="dxa"/>
            <w:gridSpan w:val="2"/>
            <w:tcBorders>
              <w:top w:val="nil"/>
              <w:left w:val="nil"/>
              <w:bottom w:val="single" w:sz="4" w:space="0" w:color="auto"/>
              <w:right w:val="single" w:sz="4" w:space="0" w:color="auto"/>
            </w:tcBorders>
            <w:vAlign w:val="bottom"/>
            <w:hideMark/>
          </w:tcPr>
          <w:p w:rsidR="00FF2EC0" w:rsidRPr="001D50E3" w:rsidRDefault="00FF2EC0" w:rsidP="00754C28">
            <w:pPr>
              <w:spacing w:after="120"/>
              <w:jc w:val="both"/>
              <w:rPr>
                <w:rFonts w:ascii="Arial" w:eastAsia="Calibri" w:hAnsi="Arial" w:cs="Arial"/>
                <w:i/>
                <w:noProof/>
                <w:sz w:val="18"/>
                <w:szCs w:val="20"/>
              </w:rPr>
            </w:pPr>
            <w:r w:rsidRPr="001D50E3">
              <w:rPr>
                <w:rFonts w:ascii="Arial" w:eastAsia="Calibri" w:hAnsi="Arial" w:cs="Arial"/>
                <w:i/>
                <w:noProof/>
                <w:sz w:val="18"/>
                <w:szCs w:val="20"/>
              </w:rPr>
              <w:t> </w:t>
            </w:r>
          </w:p>
        </w:tc>
        <w:tc>
          <w:tcPr>
            <w:tcW w:w="1276" w:type="dxa"/>
            <w:tcBorders>
              <w:top w:val="nil"/>
              <w:left w:val="nil"/>
              <w:bottom w:val="single" w:sz="4" w:space="0" w:color="auto"/>
              <w:right w:val="single" w:sz="4" w:space="0" w:color="auto"/>
            </w:tcBorders>
            <w:vAlign w:val="bottom"/>
            <w:hideMark/>
          </w:tcPr>
          <w:p w:rsidR="00FF2EC0" w:rsidRPr="001D50E3" w:rsidRDefault="00FF2EC0" w:rsidP="00754C28">
            <w:pPr>
              <w:spacing w:after="120"/>
              <w:jc w:val="both"/>
              <w:rPr>
                <w:rFonts w:ascii="Arial" w:eastAsia="Calibri" w:hAnsi="Arial" w:cs="Arial"/>
                <w:i/>
                <w:noProof/>
                <w:sz w:val="18"/>
                <w:szCs w:val="20"/>
              </w:rPr>
            </w:pPr>
            <w:r w:rsidRPr="001D50E3">
              <w:rPr>
                <w:rFonts w:ascii="Arial" w:eastAsia="Calibri" w:hAnsi="Arial" w:cs="Arial"/>
                <w:i/>
                <w:noProof/>
                <w:sz w:val="18"/>
                <w:szCs w:val="20"/>
              </w:rPr>
              <w:t> </w:t>
            </w:r>
          </w:p>
        </w:tc>
        <w:tc>
          <w:tcPr>
            <w:tcW w:w="1308" w:type="dxa"/>
            <w:gridSpan w:val="2"/>
            <w:tcBorders>
              <w:top w:val="nil"/>
              <w:left w:val="nil"/>
              <w:bottom w:val="single" w:sz="4" w:space="0" w:color="auto"/>
              <w:right w:val="single" w:sz="4" w:space="0" w:color="auto"/>
            </w:tcBorders>
            <w:vAlign w:val="bottom"/>
            <w:hideMark/>
          </w:tcPr>
          <w:p w:rsidR="00FF2EC0" w:rsidRPr="001D50E3" w:rsidRDefault="00FF2EC0" w:rsidP="00754C28">
            <w:pPr>
              <w:spacing w:after="120"/>
              <w:jc w:val="both"/>
              <w:rPr>
                <w:rFonts w:ascii="Arial" w:eastAsia="Calibri" w:hAnsi="Arial" w:cs="Arial"/>
                <w:i/>
                <w:noProof/>
                <w:sz w:val="18"/>
                <w:szCs w:val="20"/>
              </w:rPr>
            </w:pPr>
            <w:r w:rsidRPr="001D50E3">
              <w:rPr>
                <w:rFonts w:ascii="Arial" w:eastAsia="Calibri" w:hAnsi="Arial" w:cs="Arial"/>
                <w:i/>
                <w:noProof/>
                <w:sz w:val="18"/>
                <w:szCs w:val="20"/>
              </w:rPr>
              <w:t> </w:t>
            </w:r>
          </w:p>
        </w:tc>
        <w:tc>
          <w:tcPr>
            <w:tcW w:w="1268" w:type="dxa"/>
            <w:gridSpan w:val="2"/>
            <w:tcBorders>
              <w:top w:val="nil"/>
              <w:left w:val="nil"/>
              <w:bottom w:val="single" w:sz="4" w:space="0" w:color="auto"/>
              <w:right w:val="single" w:sz="4" w:space="0" w:color="auto"/>
            </w:tcBorders>
            <w:vAlign w:val="bottom"/>
            <w:hideMark/>
          </w:tcPr>
          <w:p w:rsidR="00FF2EC0" w:rsidRPr="001D50E3" w:rsidRDefault="00FF2EC0" w:rsidP="00754C28">
            <w:pPr>
              <w:spacing w:after="120"/>
              <w:jc w:val="both"/>
              <w:rPr>
                <w:rFonts w:ascii="Arial" w:eastAsia="Calibri" w:hAnsi="Arial" w:cs="Arial"/>
                <w:i/>
                <w:noProof/>
                <w:sz w:val="18"/>
                <w:szCs w:val="20"/>
              </w:rPr>
            </w:pPr>
            <w:r w:rsidRPr="001D50E3">
              <w:rPr>
                <w:rFonts w:ascii="Arial" w:eastAsia="Calibri" w:hAnsi="Arial" w:cs="Arial"/>
                <w:i/>
                <w:noProof/>
                <w:sz w:val="18"/>
                <w:szCs w:val="20"/>
              </w:rPr>
              <w:t> </w:t>
            </w:r>
          </w:p>
        </w:tc>
        <w:tc>
          <w:tcPr>
            <w:tcW w:w="1264" w:type="dxa"/>
            <w:gridSpan w:val="2"/>
            <w:tcBorders>
              <w:top w:val="nil"/>
              <w:left w:val="nil"/>
              <w:bottom w:val="single" w:sz="4" w:space="0" w:color="auto"/>
              <w:right w:val="single" w:sz="4" w:space="0" w:color="auto"/>
            </w:tcBorders>
            <w:vAlign w:val="bottom"/>
            <w:hideMark/>
          </w:tcPr>
          <w:p w:rsidR="00FF2EC0" w:rsidRPr="001D50E3" w:rsidRDefault="00FF2EC0" w:rsidP="00754C28">
            <w:pPr>
              <w:spacing w:after="120"/>
              <w:jc w:val="both"/>
              <w:rPr>
                <w:rFonts w:ascii="Arial" w:eastAsia="Calibri" w:hAnsi="Arial" w:cs="Arial"/>
                <w:i/>
                <w:noProof/>
                <w:sz w:val="18"/>
                <w:szCs w:val="20"/>
              </w:rPr>
            </w:pPr>
            <w:r w:rsidRPr="001D50E3">
              <w:rPr>
                <w:rFonts w:ascii="Arial" w:eastAsia="Calibri" w:hAnsi="Arial" w:cs="Arial"/>
                <w:i/>
                <w:noProof/>
                <w:sz w:val="18"/>
                <w:szCs w:val="20"/>
              </w:rPr>
              <w:t> </w:t>
            </w:r>
          </w:p>
        </w:tc>
        <w:tc>
          <w:tcPr>
            <w:tcW w:w="1405" w:type="dxa"/>
            <w:tcBorders>
              <w:top w:val="nil"/>
              <w:left w:val="nil"/>
              <w:bottom w:val="single" w:sz="4" w:space="0" w:color="auto"/>
              <w:right w:val="single" w:sz="4" w:space="0" w:color="auto"/>
            </w:tcBorders>
            <w:vAlign w:val="bottom"/>
            <w:hideMark/>
          </w:tcPr>
          <w:p w:rsidR="00FF2EC0" w:rsidRPr="001D50E3" w:rsidRDefault="00FF2EC0" w:rsidP="00754C28">
            <w:pPr>
              <w:spacing w:after="120"/>
              <w:jc w:val="both"/>
              <w:rPr>
                <w:rFonts w:ascii="Arial" w:eastAsia="Calibri" w:hAnsi="Arial" w:cs="Arial"/>
                <w:i/>
                <w:noProof/>
                <w:sz w:val="18"/>
                <w:szCs w:val="20"/>
              </w:rPr>
            </w:pPr>
            <w:r w:rsidRPr="001D50E3">
              <w:rPr>
                <w:rFonts w:ascii="Arial" w:eastAsia="Calibri" w:hAnsi="Arial" w:cs="Arial"/>
                <w:i/>
                <w:noProof/>
                <w:sz w:val="18"/>
                <w:szCs w:val="20"/>
              </w:rPr>
              <w:t> </w:t>
            </w:r>
          </w:p>
        </w:tc>
      </w:tr>
      <w:tr w:rsidR="008768C7" w:rsidRPr="001D50E3" w:rsidTr="008768C7">
        <w:tc>
          <w:tcPr>
            <w:tcW w:w="1833" w:type="dxa"/>
            <w:tcBorders>
              <w:top w:val="single" w:sz="4" w:space="0" w:color="auto"/>
              <w:left w:val="single" w:sz="4" w:space="0" w:color="auto"/>
              <w:bottom w:val="single" w:sz="4" w:space="0" w:color="auto"/>
              <w:right w:val="single" w:sz="4" w:space="0" w:color="auto"/>
            </w:tcBorders>
          </w:tcPr>
          <w:p w:rsidR="00FF2EC0" w:rsidRPr="001D50E3" w:rsidRDefault="00FF2EC0" w:rsidP="00754C28">
            <w:pPr>
              <w:spacing w:after="120"/>
              <w:jc w:val="both"/>
              <w:rPr>
                <w:rFonts w:ascii="Arial" w:eastAsia="Calibri" w:hAnsi="Arial" w:cs="Arial"/>
                <w:i/>
                <w:strike/>
                <w:noProof/>
                <w:sz w:val="18"/>
                <w:szCs w:val="20"/>
              </w:rPr>
            </w:pPr>
          </w:p>
        </w:tc>
        <w:tc>
          <w:tcPr>
            <w:tcW w:w="617" w:type="dxa"/>
            <w:tcBorders>
              <w:top w:val="nil"/>
              <w:left w:val="single" w:sz="4" w:space="0" w:color="auto"/>
              <w:bottom w:val="single" w:sz="4" w:space="0" w:color="auto"/>
              <w:right w:val="single" w:sz="4" w:space="0" w:color="auto"/>
            </w:tcBorders>
            <w:vAlign w:val="bottom"/>
            <w:hideMark/>
          </w:tcPr>
          <w:p w:rsidR="00FF2EC0" w:rsidRPr="001D50E3" w:rsidRDefault="00FF2EC0" w:rsidP="00754C28">
            <w:pPr>
              <w:spacing w:after="120"/>
              <w:jc w:val="both"/>
              <w:rPr>
                <w:rFonts w:ascii="Arial" w:eastAsia="Calibri" w:hAnsi="Arial" w:cs="Arial"/>
                <w:i/>
                <w:noProof/>
                <w:sz w:val="18"/>
                <w:szCs w:val="20"/>
              </w:rPr>
            </w:pPr>
            <w:r w:rsidRPr="001D50E3">
              <w:rPr>
                <w:rFonts w:ascii="Arial" w:eastAsia="Calibri" w:hAnsi="Arial" w:cs="Arial"/>
                <w:i/>
                <w:noProof/>
                <w:sz w:val="18"/>
                <w:szCs w:val="20"/>
              </w:rPr>
              <w:t> </w:t>
            </w:r>
          </w:p>
        </w:tc>
        <w:tc>
          <w:tcPr>
            <w:tcW w:w="1362" w:type="dxa"/>
            <w:gridSpan w:val="2"/>
            <w:tcBorders>
              <w:top w:val="nil"/>
              <w:left w:val="nil"/>
              <w:bottom w:val="single" w:sz="4" w:space="0" w:color="auto"/>
              <w:right w:val="single" w:sz="4" w:space="0" w:color="auto"/>
            </w:tcBorders>
            <w:vAlign w:val="bottom"/>
            <w:hideMark/>
          </w:tcPr>
          <w:p w:rsidR="00FF2EC0" w:rsidRPr="001D50E3" w:rsidRDefault="00FF2EC0" w:rsidP="00754C28">
            <w:pPr>
              <w:spacing w:after="120"/>
              <w:jc w:val="both"/>
              <w:rPr>
                <w:rFonts w:ascii="Arial" w:eastAsia="Calibri" w:hAnsi="Arial" w:cs="Arial"/>
                <w:i/>
                <w:noProof/>
                <w:sz w:val="18"/>
                <w:szCs w:val="20"/>
              </w:rPr>
            </w:pPr>
            <w:r w:rsidRPr="001D50E3">
              <w:rPr>
                <w:rFonts w:ascii="Arial" w:eastAsia="Calibri" w:hAnsi="Arial" w:cs="Arial"/>
                <w:i/>
                <w:noProof/>
                <w:sz w:val="18"/>
                <w:szCs w:val="20"/>
              </w:rPr>
              <w:t> </w:t>
            </w:r>
          </w:p>
        </w:tc>
        <w:tc>
          <w:tcPr>
            <w:tcW w:w="1291" w:type="dxa"/>
            <w:gridSpan w:val="2"/>
            <w:tcBorders>
              <w:top w:val="nil"/>
              <w:left w:val="nil"/>
              <w:bottom w:val="single" w:sz="4" w:space="0" w:color="auto"/>
              <w:right w:val="single" w:sz="4" w:space="0" w:color="auto"/>
            </w:tcBorders>
            <w:vAlign w:val="bottom"/>
            <w:hideMark/>
          </w:tcPr>
          <w:p w:rsidR="00FF2EC0" w:rsidRPr="001D50E3" w:rsidRDefault="00FF2EC0" w:rsidP="00754C28">
            <w:pPr>
              <w:spacing w:after="120"/>
              <w:jc w:val="both"/>
              <w:rPr>
                <w:rFonts w:ascii="Arial" w:eastAsia="Calibri" w:hAnsi="Arial" w:cs="Arial"/>
                <w:i/>
                <w:noProof/>
                <w:sz w:val="18"/>
                <w:szCs w:val="20"/>
              </w:rPr>
            </w:pPr>
            <w:r w:rsidRPr="001D50E3">
              <w:rPr>
                <w:rFonts w:ascii="Arial" w:eastAsia="Calibri" w:hAnsi="Arial" w:cs="Arial"/>
                <w:i/>
                <w:noProof/>
                <w:sz w:val="18"/>
                <w:szCs w:val="20"/>
              </w:rPr>
              <w:t> </w:t>
            </w:r>
          </w:p>
        </w:tc>
        <w:tc>
          <w:tcPr>
            <w:tcW w:w="1276" w:type="dxa"/>
            <w:tcBorders>
              <w:top w:val="nil"/>
              <w:left w:val="nil"/>
              <w:bottom w:val="single" w:sz="4" w:space="0" w:color="auto"/>
              <w:right w:val="single" w:sz="4" w:space="0" w:color="auto"/>
            </w:tcBorders>
            <w:vAlign w:val="bottom"/>
            <w:hideMark/>
          </w:tcPr>
          <w:p w:rsidR="00FF2EC0" w:rsidRPr="001D50E3" w:rsidRDefault="00FF2EC0" w:rsidP="00754C28">
            <w:pPr>
              <w:spacing w:after="120"/>
              <w:jc w:val="both"/>
              <w:rPr>
                <w:rFonts w:ascii="Arial" w:eastAsia="Calibri" w:hAnsi="Arial" w:cs="Arial"/>
                <w:i/>
                <w:noProof/>
                <w:sz w:val="18"/>
                <w:szCs w:val="20"/>
              </w:rPr>
            </w:pPr>
            <w:r w:rsidRPr="001D50E3">
              <w:rPr>
                <w:rFonts w:ascii="Arial" w:eastAsia="Calibri" w:hAnsi="Arial" w:cs="Arial"/>
                <w:i/>
                <w:noProof/>
                <w:sz w:val="18"/>
                <w:szCs w:val="20"/>
              </w:rPr>
              <w:t> </w:t>
            </w:r>
          </w:p>
        </w:tc>
        <w:tc>
          <w:tcPr>
            <w:tcW w:w="1308" w:type="dxa"/>
            <w:gridSpan w:val="2"/>
            <w:tcBorders>
              <w:top w:val="nil"/>
              <w:left w:val="nil"/>
              <w:bottom w:val="single" w:sz="4" w:space="0" w:color="auto"/>
              <w:right w:val="single" w:sz="4" w:space="0" w:color="auto"/>
            </w:tcBorders>
            <w:vAlign w:val="bottom"/>
            <w:hideMark/>
          </w:tcPr>
          <w:p w:rsidR="00FF2EC0" w:rsidRPr="001D50E3" w:rsidRDefault="00FF2EC0" w:rsidP="00754C28">
            <w:pPr>
              <w:spacing w:after="120"/>
              <w:jc w:val="both"/>
              <w:rPr>
                <w:rFonts w:ascii="Arial" w:eastAsia="Calibri" w:hAnsi="Arial" w:cs="Arial"/>
                <w:i/>
                <w:noProof/>
                <w:sz w:val="18"/>
                <w:szCs w:val="20"/>
              </w:rPr>
            </w:pPr>
            <w:r w:rsidRPr="001D50E3">
              <w:rPr>
                <w:rFonts w:ascii="Arial" w:eastAsia="Calibri" w:hAnsi="Arial" w:cs="Arial"/>
                <w:i/>
                <w:noProof/>
                <w:sz w:val="18"/>
                <w:szCs w:val="20"/>
              </w:rPr>
              <w:t> </w:t>
            </w:r>
          </w:p>
        </w:tc>
        <w:tc>
          <w:tcPr>
            <w:tcW w:w="1268" w:type="dxa"/>
            <w:gridSpan w:val="2"/>
            <w:tcBorders>
              <w:top w:val="nil"/>
              <w:left w:val="nil"/>
              <w:bottom w:val="single" w:sz="4" w:space="0" w:color="auto"/>
              <w:right w:val="single" w:sz="4" w:space="0" w:color="auto"/>
            </w:tcBorders>
            <w:vAlign w:val="bottom"/>
            <w:hideMark/>
          </w:tcPr>
          <w:p w:rsidR="00FF2EC0" w:rsidRPr="001D50E3" w:rsidRDefault="00FF2EC0" w:rsidP="00754C28">
            <w:pPr>
              <w:spacing w:after="120"/>
              <w:jc w:val="both"/>
              <w:rPr>
                <w:rFonts w:ascii="Arial" w:eastAsia="Calibri" w:hAnsi="Arial" w:cs="Arial"/>
                <w:i/>
                <w:noProof/>
                <w:sz w:val="18"/>
                <w:szCs w:val="20"/>
              </w:rPr>
            </w:pPr>
            <w:r w:rsidRPr="001D50E3">
              <w:rPr>
                <w:rFonts w:ascii="Arial" w:eastAsia="Calibri" w:hAnsi="Arial" w:cs="Arial"/>
                <w:i/>
                <w:noProof/>
                <w:sz w:val="18"/>
                <w:szCs w:val="20"/>
              </w:rPr>
              <w:t> </w:t>
            </w:r>
          </w:p>
        </w:tc>
        <w:tc>
          <w:tcPr>
            <w:tcW w:w="1264" w:type="dxa"/>
            <w:gridSpan w:val="2"/>
            <w:tcBorders>
              <w:top w:val="nil"/>
              <w:left w:val="nil"/>
              <w:bottom w:val="single" w:sz="4" w:space="0" w:color="auto"/>
              <w:right w:val="single" w:sz="4" w:space="0" w:color="auto"/>
            </w:tcBorders>
            <w:vAlign w:val="bottom"/>
            <w:hideMark/>
          </w:tcPr>
          <w:p w:rsidR="00FF2EC0" w:rsidRPr="001D50E3" w:rsidRDefault="00FF2EC0" w:rsidP="00754C28">
            <w:pPr>
              <w:spacing w:after="120"/>
              <w:jc w:val="both"/>
              <w:rPr>
                <w:rFonts w:ascii="Arial" w:eastAsia="Calibri" w:hAnsi="Arial" w:cs="Arial"/>
                <w:i/>
                <w:noProof/>
                <w:sz w:val="18"/>
                <w:szCs w:val="20"/>
              </w:rPr>
            </w:pPr>
            <w:r w:rsidRPr="001D50E3">
              <w:rPr>
                <w:rFonts w:ascii="Arial" w:eastAsia="Calibri" w:hAnsi="Arial" w:cs="Arial"/>
                <w:i/>
                <w:noProof/>
                <w:sz w:val="18"/>
                <w:szCs w:val="20"/>
              </w:rPr>
              <w:t> </w:t>
            </w:r>
          </w:p>
        </w:tc>
        <w:tc>
          <w:tcPr>
            <w:tcW w:w="1405" w:type="dxa"/>
            <w:tcBorders>
              <w:top w:val="nil"/>
              <w:left w:val="nil"/>
              <w:bottom w:val="single" w:sz="4" w:space="0" w:color="auto"/>
              <w:right w:val="single" w:sz="4" w:space="0" w:color="auto"/>
            </w:tcBorders>
            <w:vAlign w:val="bottom"/>
            <w:hideMark/>
          </w:tcPr>
          <w:p w:rsidR="00FF2EC0" w:rsidRPr="001D50E3" w:rsidRDefault="00FF2EC0" w:rsidP="00754C28">
            <w:pPr>
              <w:spacing w:after="120"/>
              <w:jc w:val="both"/>
              <w:rPr>
                <w:rFonts w:ascii="Arial" w:eastAsia="Calibri" w:hAnsi="Arial" w:cs="Arial"/>
                <w:i/>
                <w:noProof/>
                <w:sz w:val="18"/>
                <w:szCs w:val="20"/>
              </w:rPr>
            </w:pPr>
            <w:r w:rsidRPr="001D50E3">
              <w:rPr>
                <w:rFonts w:ascii="Arial" w:eastAsia="Calibri" w:hAnsi="Arial" w:cs="Arial"/>
                <w:i/>
                <w:noProof/>
                <w:sz w:val="18"/>
                <w:szCs w:val="20"/>
              </w:rPr>
              <w:t> </w:t>
            </w:r>
          </w:p>
        </w:tc>
      </w:tr>
      <w:tr w:rsidR="008768C7" w:rsidRPr="001D50E3" w:rsidTr="008768C7">
        <w:tc>
          <w:tcPr>
            <w:tcW w:w="1833" w:type="dxa"/>
            <w:tcBorders>
              <w:top w:val="single" w:sz="4" w:space="0" w:color="auto"/>
              <w:left w:val="single" w:sz="4" w:space="0" w:color="auto"/>
              <w:bottom w:val="single" w:sz="4" w:space="0" w:color="auto"/>
              <w:right w:val="single" w:sz="4" w:space="0" w:color="auto"/>
            </w:tcBorders>
            <w:hideMark/>
          </w:tcPr>
          <w:p w:rsidR="00FF2EC0" w:rsidRPr="001D50E3" w:rsidRDefault="00FF2EC0" w:rsidP="00754C28">
            <w:pPr>
              <w:spacing w:after="120"/>
              <w:jc w:val="both"/>
              <w:rPr>
                <w:rFonts w:ascii="Arial" w:eastAsia="Calibri" w:hAnsi="Arial" w:cs="Arial"/>
                <w:i/>
                <w:noProof/>
                <w:sz w:val="18"/>
                <w:szCs w:val="20"/>
              </w:rPr>
            </w:pPr>
            <w:r w:rsidRPr="001D50E3">
              <w:rPr>
                <w:rFonts w:ascii="Arial" w:eastAsia="Calibri" w:hAnsi="Arial" w:cs="Arial"/>
                <w:i/>
                <w:noProof/>
                <w:sz w:val="18"/>
                <w:szCs w:val="20"/>
              </w:rPr>
              <w:t>OSTR</w:t>
            </w:r>
            <w:r w:rsidRPr="001D50E3">
              <w:rPr>
                <w:rFonts w:ascii="Arial" w:eastAsia="Calibri" w:hAnsi="Arial" w:cs="Arial"/>
                <w:i/>
                <w:noProof/>
                <w:sz w:val="18"/>
                <w:szCs w:val="20"/>
                <w:vertAlign w:val="superscript"/>
              </w:rPr>
              <w:footnoteReference w:id="2"/>
            </w:r>
          </w:p>
        </w:tc>
        <w:tc>
          <w:tcPr>
            <w:tcW w:w="617" w:type="dxa"/>
            <w:tcBorders>
              <w:top w:val="nil"/>
              <w:left w:val="single" w:sz="4" w:space="0" w:color="auto"/>
              <w:bottom w:val="single" w:sz="4" w:space="0" w:color="auto"/>
              <w:right w:val="single" w:sz="4" w:space="0" w:color="auto"/>
            </w:tcBorders>
            <w:vAlign w:val="bottom"/>
            <w:hideMark/>
          </w:tcPr>
          <w:p w:rsidR="00FF2EC0" w:rsidRPr="001D50E3" w:rsidRDefault="00FF2EC0" w:rsidP="00754C28">
            <w:pPr>
              <w:spacing w:after="120"/>
              <w:jc w:val="both"/>
              <w:rPr>
                <w:rFonts w:ascii="Arial" w:eastAsia="Calibri" w:hAnsi="Arial" w:cs="Arial"/>
                <w:i/>
                <w:noProof/>
                <w:sz w:val="18"/>
                <w:szCs w:val="20"/>
              </w:rPr>
            </w:pPr>
            <w:r w:rsidRPr="001D50E3">
              <w:rPr>
                <w:rFonts w:ascii="Arial" w:eastAsia="Calibri" w:hAnsi="Arial" w:cs="Arial"/>
                <w:i/>
                <w:noProof/>
                <w:sz w:val="18"/>
                <w:szCs w:val="20"/>
              </w:rPr>
              <w:t> </w:t>
            </w:r>
          </w:p>
        </w:tc>
        <w:tc>
          <w:tcPr>
            <w:tcW w:w="1362" w:type="dxa"/>
            <w:gridSpan w:val="2"/>
            <w:tcBorders>
              <w:top w:val="nil"/>
              <w:left w:val="nil"/>
              <w:bottom w:val="single" w:sz="4" w:space="0" w:color="auto"/>
              <w:right w:val="single" w:sz="4" w:space="0" w:color="auto"/>
            </w:tcBorders>
            <w:vAlign w:val="bottom"/>
            <w:hideMark/>
          </w:tcPr>
          <w:p w:rsidR="00FF2EC0" w:rsidRPr="001D50E3" w:rsidRDefault="00FF2EC0" w:rsidP="00754C28">
            <w:pPr>
              <w:spacing w:after="120"/>
              <w:jc w:val="both"/>
              <w:rPr>
                <w:rFonts w:ascii="Arial" w:eastAsia="Calibri" w:hAnsi="Arial" w:cs="Arial"/>
                <w:i/>
                <w:noProof/>
                <w:sz w:val="18"/>
                <w:szCs w:val="20"/>
              </w:rPr>
            </w:pPr>
            <w:r w:rsidRPr="001D50E3">
              <w:rPr>
                <w:rFonts w:ascii="Arial" w:eastAsia="Calibri" w:hAnsi="Arial" w:cs="Arial"/>
                <w:i/>
                <w:noProof/>
                <w:sz w:val="18"/>
                <w:szCs w:val="20"/>
              </w:rPr>
              <w:t> </w:t>
            </w:r>
          </w:p>
        </w:tc>
        <w:tc>
          <w:tcPr>
            <w:tcW w:w="1291" w:type="dxa"/>
            <w:gridSpan w:val="2"/>
            <w:tcBorders>
              <w:top w:val="nil"/>
              <w:left w:val="nil"/>
              <w:bottom w:val="single" w:sz="4" w:space="0" w:color="auto"/>
              <w:right w:val="single" w:sz="4" w:space="0" w:color="auto"/>
            </w:tcBorders>
            <w:vAlign w:val="bottom"/>
            <w:hideMark/>
          </w:tcPr>
          <w:p w:rsidR="00FF2EC0" w:rsidRPr="001D50E3" w:rsidRDefault="00FF2EC0" w:rsidP="00754C28">
            <w:pPr>
              <w:spacing w:after="120"/>
              <w:jc w:val="both"/>
              <w:rPr>
                <w:rFonts w:ascii="Arial" w:eastAsia="Calibri" w:hAnsi="Arial" w:cs="Arial"/>
                <w:i/>
                <w:noProof/>
                <w:sz w:val="18"/>
                <w:szCs w:val="20"/>
              </w:rPr>
            </w:pPr>
            <w:r w:rsidRPr="001D50E3">
              <w:rPr>
                <w:rFonts w:ascii="Arial" w:eastAsia="Calibri" w:hAnsi="Arial" w:cs="Arial"/>
                <w:i/>
                <w:noProof/>
                <w:sz w:val="18"/>
                <w:szCs w:val="20"/>
              </w:rPr>
              <w:t> </w:t>
            </w:r>
          </w:p>
        </w:tc>
        <w:tc>
          <w:tcPr>
            <w:tcW w:w="1276" w:type="dxa"/>
            <w:tcBorders>
              <w:top w:val="nil"/>
              <w:left w:val="nil"/>
              <w:bottom w:val="single" w:sz="4" w:space="0" w:color="auto"/>
              <w:right w:val="single" w:sz="4" w:space="0" w:color="auto"/>
            </w:tcBorders>
            <w:vAlign w:val="bottom"/>
            <w:hideMark/>
          </w:tcPr>
          <w:p w:rsidR="00FF2EC0" w:rsidRPr="001D50E3" w:rsidRDefault="00FF2EC0" w:rsidP="00754C28">
            <w:pPr>
              <w:spacing w:after="120"/>
              <w:jc w:val="both"/>
              <w:rPr>
                <w:rFonts w:ascii="Arial" w:eastAsia="Calibri" w:hAnsi="Arial" w:cs="Arial"/>
                <w:i/>
                <w:noProof/>
                <w:sz w:val="18"/>
                <w:szCs w:val="20"/>
              </w:rPr>
            </w:pPr>
            <w:r w:rsidRPr="001D50E3">
              <w:rPr>
                <w:rFonts w:ascii="Arial" w:eastAsia="Calibri" w:hAnsi="Arial" w:cs="Arial"/>
                <w:i/>
                <w:noProof/>
                <w:sz w:val="18"/>
                <w:szCs w:val="20"/>
              </w:rPr>
              <w:t> </w:t>
            </w:r>
          </w:p>
        </w:tc>
        <w:tc>
          <w:tcPr>
            <w:tcW w:w="1308" w:type="dxa"/>
            <w:gridSpan w:val="2"/>
            <w:tcBorders>
              <w:top w:val="nil"/>
              <w:left w:val="nil"/>
              <w:bottom w:val="single" w:sz="4" w:space="0" w:color="auto"/>
              <w:right w:val="single" w:sz="4" w:space="0" w:color="auto"/>
            </w:tcBorders>
            <w:vAlign w:val="bottom"/>
            <w:hideMark/>
          </w:tcPr>
          <w:p w:rsidR="00FF2EC0" w:rsidRPr="001D50E3" w:rsidRDefault="00FF2EC0" w:rsidP="00754C28">
            <w:pPr>
              <w:spacing w:after="120"/>
              <w:jc w:val="both"/>
              <w:rPr>
                <w:rFonts w:ascii="Arial" w:eastAsia="Calibri" w:hAnsi="Arial" w:cs="Arial"/>
                <w:i/>
                <w:noProof/>
                <w:sz w:val="18"/>
                <w:szCs w:val="20"/>
              </w:rPr>
            </w:pPr>
            <w:r w:rsidRPr="001D50E3">
              <w:rPr>
                <w:rFonts w:ascii="Arial" w:eastAsia="Calibri" w:hAnsi="Arial" w:cs="Arial"/>
                <w:i/>
                <w:noProof/>
                <w:sz w:val="18"/>
                <w:szCs w:val="20"/>
              </w:rPr>
              <w:t> </w:t>
            </w:r>
          </w:p>
        </w:tc>
        <w:tc>
          <w:tcPr>
            <w:tcW w:w="1268" w:type="dxa"/>
            <w:gridSpan w:val="2"/>
            <w:tcBorders>
              <w:top w:val="nil"/>
              <w:left w:val="nil"/>
              <w:bottom w:val="single" w:sz="4" w:space="0" w:color="auto"/>
              <w:right w:val="single" w:sz="4" w:space="0" w:color="auto"/>
            </w:tcBorders>
            <w:vAlign w:val="bottom"/>
            <w:hideMark/>
          </w:tcPr>
          <w:p w:rsidR="00FF2EC0" w:rsidRPr="001D50E3" w:rsidRDefault="00FF2EC0" w:rsidP="00754C28">
            <w:pPr>
              <w:spacing w:after="120"/>
              <w:jc w:val="both"/>
              <w:rPr>
                <w:rFonts w:ascii="Arial" w:eastAsia="Calibri" w:hAnsi="Arial" w:cs="Arial"/>
                <w:i/>
                <w:noProof/>
                <w:sz w:val="18"/>
                <w:szCs w:val="20"/>
              </w:rPr>
            </w:pPr>
            <w:r w:rsidRPr="001D50E3">
              <w:rPr>
                <w:rFonts w:ascii="Arial" w:eastAsia="Calibri" w:hAnsi="Arial" w:cs="Arial"/>
                <w:i/>
                <w:noProof/>
                <w:sz w:val="18"/>
                <w:szCs w:val="20"/>
              </w:rPr>
              <w:t> </w:t>
            </w:r>
          </w:p>
        </w:tc>
        <w:tc>
          <w:tcPr>
            <w:tcW w:w="1264" w:type="dxa"/>
            <w:gridSpan w:val="2"/>
            <w:tcBorders>
              <w:top w:val="nil"/>
              <w:left w:val="nil"/>
              <w:bottom w:val="single" w:sz="4" w:space="0" w:color="auto"/>
              <w:right w:val="single" w:sz="4" w:space="0" w:color="auto"/>
            </w:tcBorders>
            <w:vAlign w:val="bottom"/>
            <w:hideMark/>
          </w:tcPr>
          <w:p w:rsidR="00FF2EC0" w:rsidRPr="001D50E3" w:rsidRDefault="00FF2EC0" w:rsidP="00754C28">
            <w:pPr>
              <w:spacing w:after="120"/>
              <w:jc w:val="both"/>
              <w:rPr>
                <w:rFonts w:ascii="Arial" w:eastAsia="Calibri" w:hAnsi="Arial" w:cs="Arial"/>
                <w:i/>
                <w:noProof/>
                <w:sz w:val="18"/>
                <w:szCs w:val="20"/>
              </w:rPr>
            </w:pPr>
            <w:r w:rsidRPr="001D50E3">
              <w:rPr>
                <w:rFonts w:ascii="Arial" w:eastAsia="Calibri" w:hAnsi="Arial" w:cs="Arial"/>
                <w:i/>
                <w:noProof/>
                <w:sz w:val="18"/>
                <w:szCs w:val="20"/>
              </w:rPr>
              <w:t> </w:t>
            </w:r>
          </w:p>
        </w:tc>
        <w:tc>
          <w:tcPr>
            <w:tcW w:w="1405" w:type="dxa"/>
            <w:tcBorders>
              <w:top w:val="nil"/>
              <w:left w:val="nil"/>
              <w:bottom w:val="single" w:sz="4" w:space="0" w:color="auto"/>
              <w:right w:val="single" w:sz="4" w:space="0" w:color="auto"/>
            </w:tcBorders>
            <w:vAlign w:val="bottom"/>
            <w:hideMark/>
          </w:tcPr>
          <w:p w:rsidR="00FF2EC0" w:rsidRPr="001D50E3" w:rsidRDefault="00FF2EC0" w:rsidP="00754C28">
            <w:pPr>
              <w:spacing w:after="120"/>
              <w:jc w:val="both"/>
              <w:rPr>
                <w:rFonts w:ascii="Arial" w:eastAsia="Calibri" w:hAnsi="Arial" w:cs="Arial"/>
                <w:i/>
                <w:noProof/>
                <w:sz w:val="18"/>
                <w:szCs w:val="20"/>
              </w:rPr>
            </w:pPr>
            <w:r w:rsidRPr="001D50E3">
              <w:rPr>
                <w:rFonts w:ascii="Arial" w:eastAsia="Calibri" w:hAnsi="Arial" w:cs="Arial"/>
                <w:i/>
                <w:noProof/>
                <w:sz w:val="18"/>
                <w:szCs w:val="20"/>
              </w:rPr>
              <w:t> </w:t>
            </w:r>
          </w:p>
        </w:tc>
      </w:tr>
      <w:tr w:rsidR="008768C7" w:rsidRPr="001D50E3" w:rsidTr="008768C7">
        <w:tc>
          <w:tcPr>
            <w:tcW w:w="1833" w:type="dxa"/>
            <w:tcBorders>
              <w:top w:val="single" w:sz="4" w:space="0" w:color="auto"/>
              <w:left w:val="single" w:sz="4" w:space="0" w:color="auto"/>
              <w:bottom w:val="single" w:sz="4" w:space="0" w:color="auto"/>
              <w:right w:val="single" w:sz="4" w:space="0" w:color="auto"/>
            </w:tcBorders>
            <w:hideMark/>
          </w:tcPr>
          <w:p w:rsidR="00FF2EC0" w:rsidRPr="001D50E3" w:rsidRDefault="00FF2EC0" w:rsidP="00754C28">
            <w:pPr>
              <w:spacing w:after="120"/>
              <w:jc w:val="both"/>
              <w:rPr>
                <w:rFonts w:ascii="Arial" w:eastAsia="Calibri" w:hAnsi="Arial" w:cs="Arial"/>
                <w:i/>
                <w:noProof/>
                <w:sz w:val="18"/>
                <w:szCs w:val="20"/>
              </w:rPr>
            </w:pPr>
            <w:r w:rsidRPr="001D50E3">
              <w:rPr>
                <w:rFonts w:ascii="Arial" w:eastAsia="Calibri" w:hAnsi="Arial" w:cs="Arial"/>
                <w:i/>
                <w:noProof/>
                <w:sz w:val="18"/>
                <w:szCs w:val="20"/>
              </w:rPr>
              <w:t>Fondet Interreg</w:t>
            </w:r>
            <w:r w:rsidRPr="001D50E3">
              <w:rPr>
                <w:rFonts w:ascii="Arial" w:eastAsia="Calibri" w:hAnsi="Arial" w:cs="Arial"/>
                <w:i/>
                <w:noProof/>
                <w:sz w:val="18"/>
                <w:szCs w:val="20"/>
                <w:vertAlign w:val="superscript"/>
              </w:rPr>
              <w:footnoteReference w:id="3"/>
            </w:r>
          </w:p>
        </w:tc>
        <w:tc>
          <w:tcPr>
            <w:tcW w:w="617" w:type="dxa"/>
            <w:tcBorders>
              <w:top w:val="nil"/>
              <w:left w:val="single" w:sz="4" w:space="0" w:color="auto"/>
              <w:bottom w:val="single" w:sz="4" w:space="0" w:color="auto"/>
              <w:right w:val="single" w:sz="4" w:space="0" w:color="auto"/>
            </w:tcBorders>
            <w:vAlign w:val="bottom"/>
          </w:tcPr>
          <w:p w:rsidR="00FF2EC0" w:rsidRPr="001D50E3" w:rsidRDefault="00FF2EC0" w:rsidP="00754C28">
            <w:pPr>
              <w:spacing w:after="120"/>
              <w:jc w:val="both"/>
              <w:rPr>
                <w:rFonts w:ascii="Arial" w:eastAsia="Calibri" w:hAnsi="Arial" w:cs="Arial"/>
                <w:i/>
                <w:noProof/>
                <w:sz w:val="18"/>
                <w:szCs w:val="20"/>
              </w:rPr>
            </w:pPr>
          </w:p>
        </w:tc>
        <w:tc>
          <w:tcPr>
            <w:tcW w:w="1362" w:type="dxa"/>
            <w:gridSpan w:val="2"/>
            <w:tcBorders>
              <w:top w:val="nil"/>
              <w:left w:val="nil"/>
              <w:bottom w:val="single" w:sz="4" w:space="0" w:color="auto"/>
              <w:right w:val="single" w:sz="4" w:space="0" w:color="auto"/>
            </w:tcBorders>
            <w:vAlign w:val="bottom"/>
          </w:tcPr>
          <w:p w:rsidR="00FF2EC0" w:rsidRPr="001D50E3" w:rsidRDefault="00FF2EC0" w:rsidP="00754C28">
            <w:pPr>
              <w:spacing w:after="120"/>
              <w:jc w:val="both"/>
              <w:rPr>
                <w:rFonts w:ascii="Arial" w:eastAsia="Calibri" w:hAnsi="Arial" w:cs="Arial"/>
                <w:i/>
                <w:noProof/>
                <w:sz w:val="18"/>
                <w:szCs w:val="20"/>
              </w:rPr>
            </w:pPr>
          </w:p>
        </w:tc>
        <w:tc>
          <w:tcPr>
            <w:tcW w:w="1291" w:type="dxa"/>
            <w:gridSpan w:val="2"/>
            <w:tcBorders>
              <w:top w:val="nil"/>
              <w:left w:val="nil"/>
              <w:bottom w:val="single" w:sz="4" w:space="0" w:color="auto"/>
              <w:right w:val="single" w:sz="4" w:space="0" w:color="auto"/>
            </w:tcBorders>
            <w:vAlign w:val="bottom"/>
          </w:tcPr>
          <w:p w:rsidR="00FF2EC0" w:rsidRPr="001D50E3" w:rsidRDefault="00FF2EC0" w:rsidP="00754C28">
            <w:pPr>
              <w:spacing w:after="120"/>
              <w:jc w:val="both"/>
              <w:rPr>
                <w:rFonts w:ascii="Arial" w:eastAsia="Calibri" w:hAnsi="Arial" w:cs="Arial"/>
                <w:i/>
                <w:noProof/>
                <w:sz w:val="18"/>
                <w:szCs w:val="20"/>
              </w:rPr>
            </w:pPr>
          </w:p>
        </w:tc>
        <w:tc>
          <w:tcPr>
            <w:tcW w:w="1276" w:type="dxa"/>
            <w:tcBorders>
              <w:top w:val="nil"/>
              <w:left w:val="nil"/>
              <w:bottom w:val="single" w:sz="4" w:space="0" w:color="auto"/>
              <w:right w:val="single" w:sz="4" w:space="0" w:color="auto"/>
            </w:tcBorders>
            <w:vAlign w:val="bottom"/>
          </w:tcPr>
          <w:p w:rsidR="00FF2EC0" w:rsidRPr="001D50E3" w:rsidRDefault="00FF2EC0" w:rsidP="00754C28">
            <w:pPr>
              <w:spacing w:after="120"/>
              <w:jc w:val="both"/>
              <w:rPr>
                <w:rFonts w:ascii="Arial" w:eastAsia="Calibri" w:hAnsi="Arial" w:cs="Arial"/>
                <w:i/>
                <w:noProof/>
                <w:sz w:val="18"/>
                <w:szCs w:val="20"/>
              </w:rPr>
            </w:pPr>
          </w:p>
        </w:tc>
        <w:tc>
          <w:tcPr>
            <w:tcW w:w="1308" w:type="dxa"/>
            <w:gridSpan w:val="2"/>
            <w:tcBorders>
              <w:top w:val="nil"/>
              <w:left w:val="nil"/>
              <w:bottom w:val="single" w:sz="4" w:space="0" w:color="auto"/>
              <w:right w:val="single" w:sz="4" w:space="0" w:color="auto"/>
            </w:tcBorders>
            <w:vAlign w:val="bottom"/>
          </w:tcPr>
          <w:p w:rsidR="00FF2EC0" w:rsidRPr="001D50E3" w:rsidRDefault="00FF2EC0" w:rsidP="00754C28">
            <w:pPr>
              <w:spacing w:after="120"/>
              <w:jc w:val="both"/>
              <w:rPr>
                <w:rFonts w:ascii="Arial" w:eastAsia="Calibri" w:hAnsi="Arial" w:cs="Arial"/>
                <w:i/>
                <w:noProof/>
                <w:sz w:val="18"/>
                <w:szCs w:val="20"/>
              </w:rPr>
            </w:pPr>
          </w:p>
        </w:tc>
        <w:tc>
          <w:tcPr>
            <w:tcW w:w="1268" w:type="dxa"/>
            <w:gridSpan w:val="2"/>
            <w:tcBorders>
              <w:top w:val="nil"/>
              <w:left w:val="nil"/>
              <w:bottom w:val="single" w:sz="4" w:space="0" w:color="auto"/>
              <w:right w:val="single" w:sz="4" w:space="0" w:color="auto"/>
            </w:tcBorders>
            <w:vAlign w:val="bottom"/>
          </w:tcPr>
          <w:p w:rsidR="00FF2EC0" w:rsidRPr="001D50E3" w:rsidRDefault="00FF2EC0" w:rsidP="00754C28">
            <w:pPr>
              <w:spacing w:after="120"/>
              <w:jc w:val="both"/>
              <w:rPr>
                <w:rFonts w:ascii="Arial" w:eastAsia="Calibri" w:hAnsi="Arial" w:cs="Arial"/>
                <w:i/>
                <w:noProof/>
                <w:sz w:val="18"/>
                <w:szCs w:val="20"/>
              </w:rPr>
            </w:pPr>
          </w:p>
        </w:tc>
        <w:tc>
          <w:tcPr>
            <w:tcW w:w="1264" w:type="dxa"/>
            <w:gridSpan w:val="2"/>
            <w:tcBorders>
              <w:top w:val="nil"/>
              <w:left w:val="nil"/>
              <w:bottom w:val="single" w:sz="4" w:space="0" w:color="auto"/>
              <w:right w:val="single" w:sz="4" w:space="0" w:color="auto"/>
            </w:tcBorders>
            <w:vAlign w:val="bottom"/>
          </w:tcPr>
          <w:p w:rsidR="00FF2EC0" w:rsidRPr="001D50E3" w:rsidRDefault="00FF2EC0" w:rsidP="00754C28">
            <w:pPr>
              <w:spacing w:after="120"/>
              <w:jc w:val="both"/>
              <w:rPr>
                <w:rFonts w:ascii="Arial" w:eastAsia="Calibri" w:hAnsi="Arial" w:cs="Arial"/>
                <w:i/>
                <w:noProof/>
                <w:sz w:val="18"/>
                <w:szCs w:val="20"/>
              </w:rPr>
            </w:pPr>
          </w:p>
        </w:tc>
        <w:tc>
          <w:tcPr>
            <w:tcW w:w="1405" w:type="dxa"/>
            <w:tcBorders>
              <w:top w:val="nil"/>
              <w:left w:val="nil"/>
              <w:bottom w:val="single" w:sz="4" w:space="0" w:color="auto"/>
              <w:right w:val="single" w:sz="4" w:space="0" w:color="auto"/>
            </w:tcBorders>
            <w:vAlign w:val="bottom"/>
          </w:tcPr>
          <w:p w:rsidR="00FF2EC0" w:rsidRPr="001D50E3" w:rsidRDefault="00FF2EC0" w:rsidP="00754C28">
            <w:pPr>
              <w:spacing w:after="120"/>
              <w:jc w:val="both"/>
              <w:rPr>
                <w:rFonts w:ascii="Arial" w:eastAsia="Calibri" w:hAnsi="Arial" w:cs="Arial"/>
                <w:i/>
                <w:noProof/>
                <w:sz w:val="18"/>
                <w:szCs w:val="20"/>
              </w:rPr>
            </w:pPr>
          </w:p>
        </w:tc>
      </w:tr>
      <w:tr w:rsidR="00FF2EC0" w:rsidRPr="001D50E3" w:rsidTr="008768C7">
        <w:tc>
          <w:tcPr>
            <w:tcW w:w="1833" w:type="dxa"/>
            <w:tcBorders>
              <w:top w:val="single" w:sz="4" w:space="0" w:color="auto"/>
              <w:left w:val="single" w:sz="4" w:space="0" w:color="auto"/>
              <w:bottom w:val="single" w:sz="4" w:space="0" w:color="auto"/>
              <w:right w:val="single" w:sz="4" w:space="0" w:color="auto"/>
            </w:tcBorders>
            <w:hideMark/>
          </w:tcPr>
          <w:p w:rsidR="00FF2EC0" w:rsidRPr="001D50E3" w:rsidRDefault="00FF2EC0" w:rsidP="008768C7">
            <w:pPr>
              <w:spacing w:after="120" w:line="276" w:lineRule="auto"/>
              <w:jc w:val="both"/>
              <w:rPr>
                <w:rFonts w:ascii="Arial" w:eastAsia="Calibri" w:hAnsi="Arial" w:cs="Arial"/>
                <w:i/>
                <w:noProof/>
                <w:sz w:val="18"/>
                <w:szCs w:val="20"/>
              </w:rPr>
            </w:pPr>
            <w:r w:rsidRPr="001D50E3">
              <w:rPr>
                <w:rFonts w:ascii="Arial" w:eastAsia="Calibri" w:hAnsi="Arial" w:cs="Arial"/>
                <w:i/>
                <w:noProof/>
                <w:sz w:val="18"/>
                <w:szCs w:val="20"/>
              </w:rPr>
              <w:t>Fondet Interreg</w:t>
            </w:r>
            <w:r w:rsidRPr="001D50E3">
              <w:rPr>
                <w:rFonts w:ascii="Arial" w:eastAsia="Calibri" w:hAnsi="Arial" w:cs="Arial"/>
                <w:i/>
                <w:noProof/>
                <w:sz w:val="18"/>
                <w:szCs w:val="20"/>
                <w:vertAlign w:val="superscript"/>
              </w:rPr>
              <w:footnoteReference w:id="4"/>
            </w:r>
          </w:p>
        </w:tc>
        <w:tc>
          <w:tcPr>
            <w:tcW w:w="1300" w:type="dxa"/>
            <w:gridSpan w:val="2"/>
            <w:tcBorders>
              <w:top w:val="nil"/>
              <w:left w:val="single" w:sz="4" w:space="0" w:color="auto"/>
              <w:bottom w:val="single" w:sz="4" w:space="0" w:color="auto"/>
              <w:right w:val="single" w:sz="4" w:space="0" w:color="auto"/>
            </w:tcBorders>
            <w:vAlign w:val="bottom"/>
          </w:tcPr>
          <w:p w:rsidR="00FF2EC0" w:rsidRPr="001D50E3" w:rsidRDefault="00FF2EC0" w:rsidP="008768C7">
            <w:pPr>
              <w:spacing w:after="120" w:line="276" w:lineRule="auto"/>
              <w:jc w:val="both"/>
              <w:rPr>
                <w:rFonts w:ascii="Arial" w:eastAsia="Calibri" w:hAnsi="Arial" w:cs="Arial"/>
                <w:i/>
                <w:noProof/>
                <w:sz w:val="18"/>
                <w:szCs w:val="20"/>
              </w:rPr>
            </w:pPr>
          </w:p>
        </w:tc>
        <w:tc>
          <w:tcPr>
            <w:tcW w:w="1124" w:type="dxa"/>
            <w:gridSpan w:val="2"/>
            <w:tcBorders>
              <w:top w:val="nil"/>
              <w:left w:val="nil"/>
              <w:bottom w:val="single" w:sz="4" w:space="0" w:color="auto"/>
              <w:right w:val="single" w:sz="4" w:space="0" w:color="auto"/>
            </w:tcBorders>
            <w:vAlign w:val="bottom"/>
          </w:tcPr>
          <w:p w:rsidR="00FF2EC0" w:rsidRPr="001D50E3" w:rsidRDefault="00FF2EC0" w:rsidP="008768C7">
            <w:pPr>
              <w:spacing w:after="120" w:line="276" w:lineRule="auto"/>
              <w:jc w:val="both"/>
              <w:rPr>
                <w:rFonts w:ascii="Arial" w:eastAsia="Calibri" w:hAnsi="Arial" w:cs="Arial"/>
                <w:i/>
                <w:noProof/>
                <w:sz w:val="18"/>
                <w:szCs w:val="20"/>
              </w:rPr>
            </w:pPr>
          </w:p>
        </w:tc>
        <w:tc>
          <w:tcPr>
            <w:tcW w:w="846" w:type="dxa"/>
            <w:tcBorders>
              <w:top w:val="nil"/>
              <w:left w:val="nil"/>
              <w:bottom w:val="single" w:sz="4" w:space="0" w:color="auto"/>
              <w:right w:val="single" w:sz="4" w:space="0" w:color="auto"/>
            </w:tcBorders>
            <w:vAlign w:val="bottom"/>
          </w:tcPr>
          <w:p w:rsidR="00FF2EC0" w:rsidRPr="001D50E3" w:rsidRDefault="00FF2EC0" w:rsidP="008768C7">
            <w:pPr>
              <w:spacing w:after="120" w:line="276" w:lineRule="auto"/>
              <w:jc w:val="both"/>
              <w:rPr>
                <w:rFonts w:ascii="Arial" w:eastAsia="Calibri" w:hAnsi="Arial" w:cs="Arial"/>
                <w:i/>
                <w:noProof/>
                <w:sz w:val="18"/>
                <w:szCs w:val="20"/>
              </w:rPr>
            </w:pPr>
          </w:p>
        </w:tc>
        <w:tc>
          <w:tcPr>
            <w:tcW w:w="1276" w:type="dxa"/>
            <w:tcBorders>
              <w:top w:val="nil"/>
              <w:left w:val="nil"/>
              <w:bottom w:val="single" w:sz="4" w:space="0" w:color="auto"/>
              <w:right w:val="single" w:sz="4" w:space="0" w:color="auto"/>
            </w:tcBorders>
            <w:vAlign w:val="bottom"/>
          </w:tcPr>
          <w:p w:rsidR="00FF2EC0" w:rsidRPr="001D50E3" w:rsidRDefault="00FF2EC0" w:rsidP="008768C7">
            <w:pPr>
              <w:spacing w:after="120" w:line="276" w:lineRule="auto"/>
              <w:jc w:val="both"/>
              <w:rPr>
                <w:rFonts w:ascii="Arial" w:eastAsia="Calibri" w:hAnsi="Arial" w:cs="Arial"/>
                <w:i/>
                <w:noProof/>
                <w:sz w:val="18"/>
                <w:szCs w:val="20"/>
              </w:rPr>
            </w:pPr>
          </w:p>
        </w:tc>
        <w:tc>
          <w:tcPr>
            <w:tcW w:w="1056" w:type="dxa"/>
            <w:tcBorders>
              <w:top w:val="nil"/>
              <w:left w:val="nil"/>
              <w:bottom w:val="single" w:sz="4" w:space="0" w:color="auto"/>
              <w:right w:val="single" w:sz="4" w:space="0" w:color="auto"/>
            </w:tcBorders>
            <w:vAlign w:val="bottom"/>
          </w:tcPr>
          <w:p w:rsidR="00FF2EC0" w:rsidRPr="001D50E3" w:rsidRDefault="00FF2EC0" w:rsidP="008768C7">
            <w:pPr>
              <w:spacing w:after="120" w:line="276" w:lineRule="auto"/>
              <w:jc w:val="both"/>
              <w:rPr>
                <w:rFonts w:ascii="Arial" w:eastAsia="Calibri" w:hAnsi="Arial" w:cs="Arial"/>
                <w:i/>
                <w:noProof/>
                <w:sz w:val="18"/>
                <w:szCs w:val="20"/>
              </w:rPr>
            </w:pPr>
          </w:p>
        </w:tc>
        <w:tc>
          <w:tcPr>
            <w:tcW w:w="1127" w:type="dxa"/>
            <w:gridSpan w:val="2"/>
            <w:tcBorders>
              <w:top w:val="nil"/>
              <w:left w:val="nil"/>
              <w:bottom w:val="single" w:sz="4" w:space="0" w:color="auto"/>
              <w:right w:val="single" w:sz="4" w:space="0" w:color="auto"/>
            </w:tcBorders>
            <w:vAlign w:val="bottom"/>
          </w:tcPr>
          <w:p w:rsidR="00FF2EC0" w:rsidRPr="001D50E3" w:rsidRDefault="00FF2EC0" w:rsidP="008768C7">
            <w:pPr>
              <w:spacing w:after="120" w:line="276" w:lineRule="auto"/>
              <w:jc w:val="both"/>
              <w:rPr>
                <w:rFonts w:ascii="Arial" w:eastAsia="Calibri" w:hAnsi="Arial" w:cs="Arial"/>
                <w:i/>
                <w:noProof/>
                <w:sz w:val="18"/>
                <w:szCs w:val="20"/>
              </w:rPr>
            </w:pPr>
          </w:p>
        </w:tc>
        <w:tc>
          <w:tcPr>
            <w:tcW w:w="987" w:type="dxa"/>
            <w:gridSpan w:val="2"/>
            <w:tcBorders>
              <w:top w:val="nil"/>
              <w:left w:val="nil"/>
              <w:bottom w:val="single" w:sz="4" w:space="0" w:color="auto"/>
              <w:right w:val="single" w:sz="4" w:space="0" w:color="auto"/>
            </w:tcBorders>
            <w:vAlign w:val="bottom"/>
          </w:tcPr>
          <w:p w:rsidR="00FF2EC0" w:rsidRPr="001D50E3" w:rsidRDefault="00FF2EC0" w:rsidP="008768C7">
            <w:pPr>
              <w:spacing w:after="120" w:line="276" w:lineRule="auto"/>
              <w:jc w:val="both"/>
              <w:rPr>
                <w:rFonts w:ascii="Arial" w:eastAsia="Calibri" w:hAnsi="Arial" w:cs="Arial"/>
                <w:i/>
                <w:noProof/>
                <w:sz w:val="18"/>
                <w:szCs w:val="20"/>
              </w:rPr>
            </w:pPr>
          </w:p>
        </w:tc>
        <w:tc>
          <w:tcPr>
            <w:tcW w:w="2075" w:type="dxa"/>
            <w:gridSpan w:val="2"/>
            <w:tcBorders>
              <w:top w:val="nil"/>
              <w:left w:val="nil"/>
              <w:bottom w:val="single" w:sz="4" w:space="0" w:color="auto"/>
              <w:right w:val="single" w:sz="4" w:space="0" w:color="auto"/>
            </w:tcBorders>
            <w:vAlign w:val="bottom"/>
          </w:tcPr>
          <w:p w:rsidR="00FF2EC0" w:rsidRPr="001D50E3" w:rsidRDefault="00FF2EC0" w:rsidP="008768C7">
            <w:pPr>
              <w:spacing w:after="120" w:line="276" w:lineRule="auto"/>
              <w:jc w:val="both"/>
              <w:rPr>
                <w:rFonts w:ascii="Arial" w:eastAsia="Calibri" w:hAnsi="Arial" w:cs="Arial"/>
                <w:i/>
                <w:noProof/>
                <w:sz w:val="18"/>
                <w:szCs w:val="20"/>
              </w:rPr>
            </w:pPr>
          </w:p>
        </w:tc>
      </w:tr>
      <w:tr w:rsidR="00FF2EC0" w:rsidRPr="001D50E3" w:rsidTr="008768C7">
        <w:tc>
          <w:tcPr>
            <w:tcW w:w="1833" w:type="dxa"/>
            <w:tcBorders>
              <w:top w:val="single" w:sz="4" w:space="0" w:color="auto"/>
              <w:left w:val="single" w:sz="4" w:space="0" w:color="auto"/>
              <w:bottom w:val="single" w:sz="4" w:space="0" w:color="auto"/>
              <w:right w:val="single" w:sz="4" w:space="0" w:color="auto"/>
            </w:tcBorders>
            <w:hideMark/>
          </w:tcPr>
          <w:p w:rsidR="00FF2EC0" w:rsidRPr="001D50E3" w:rsidRDefault="00FF2EC0" w:rsidP="008768C7">
            <w:pPr>
              <w:spacing w:after="120" w:line="276" w:lineRule="auto"/>
              <w:jc w:val="both"/>
              <w:rPr>
                <w:rFonts w:ascii="Arial" w:eastAsia="Calibri" w:hAnsi="Arial" w:cs="Arial"/>
                <w:b/>
                <w:i/>
                <w:noProof/>
                <w:sz w:val="18"/>
                <w:szCs w:val="20"/>
                <w:lang w:val="sq-AL"/>
              </w:rPr>
            </w:pPr>
            <w:r w:rsidRPr="001D50E3">
              <w:rPr>
                <w:rFonts w:ascii="Arial" w:eastAsia="Calibri" w:hAnsi="Arial" w:cs="Arial"/>
                <w:b/>
                <w:i/>
                <w:noProof/>
                <w:sz w:val="18"/>
                <w:szCs w:val="20"/>
                <w:lang w:val="sq-AL"/>
              </w:rPr>
              <w:lastRenderedPageBreak/>
              <w:t>Gjithsejt</w:t>
            </w:r>
          </w:p>
        </w:tc>
        <w:tc>
          <w:tcPr>
            <w:tcW w:w="1300" w:type="dxa"/>
            <w:gridSpan w:val="2"/>
            <w:tcBorders>
              <w:top w:val="single" w:sz="4" w:space="0" w:color="auto"/>
              <w:left w:val="single" w:sz="4" w:space="0" w:color="auto"/>
              <w:bottom w:val="single" w:sz="4" w:space="0" w:color="auto"/>
              <w:right w:val="single" w:sz="4" w:space="0" w:color="auto"/>
            </w:tcBorders>
            <w:vAlign w:val="bottom"/>
            <w:hideMark/>
          </w:tcPr>
          <w:p w:rsidR="00FF2EC0" w:rsidRPr="001D50E3" w:rsidRDefault="00FF2EC0" w:rsidP="008768C7">
            <w:pPr>
              <w:spacing w:after="120" w:line="276" w:lineRule="auto"/>
              <w:jc w:val="both"/>
              <w:rPr>
                <w:rFonts w:ascii="Arial" w:eastAsia="Calibri" w:hAnsi="Arial" w:cs="Arial"/>
                <w:i/>
                <w:noProof/>
                <w:sz w:val="18"/>
                <w:szCs w:val="20"/>
              </w:rPr>
            </w:pPr>
            <w:r w:rsidRPr="001D50E3">
              <w:rPr>
                <w:rFonts w:ascii="Arial" w:eastAsia="Calibri" w:hAnsi="Arial" w:cs="Arial"/>
                <w:i/>
                <w:noProof/>
                <w:sz w:val="18"/>
                <w:szCs w:val="20"/>
              </w:rPr>
              <w:t>0</w:t>
            </w:r>
          </w:p>
        </w:tc>
        <w:tc>
          <w:tcPr>
            <w:tcW w:w="1124" w:type="dxa"/>
            <w:gridSpan w:val="2"/>
            <w:tcBorders>
              <w:top w:val="single" w:sz="4" w:space="0" w:color="auto"/>
              <w:left w:val="nil"/>
              <w:bottom w:val="single" w:sz="4" w:space="0" w:color="auto"/>
              <w:right w:val="single" w:sz="4" w:space="0" w:color="auto"/>
            </w:tcBorders>
            <w:vAlign w:val="bottom"/>
            <w:hideMark/>
          </w:tcPr>
          <w:p w:rsidR="00FF2EC0" w:rsidRPr="001D50E3" w:rsidRDefault="00FF2EC0" w:rsidP="008768C7">
            <w:pPr>
              <w:spacing w:after="120" w:line="276" w:lineRule="auto"/>
              <w:jc w:val="both"/>
              <w:rPr>
                <w:rFonts w:ascii="Arial" w:eastAsia="Calibri" w:hAnsi="Arial" w:cs="Arial"/>
                <w:i/>
                <w:noProof/>
                <w:sz w:val="18"/>
                <w:szCs w:val="20"/>
              </w:rPr>
            </w:pPr>
            <w:r w:rsidRPr="001D50E3">
              <w:rPr>
                <w:rFonts w:ascii="Arial" w:eastAsia="Calibri" w:hAnsi="Arial" w:cs="Arial"/>
                <w:i/>
                <w:noProof/>
                <w:sz w:val="18"/>
                <w:szCs w:val="20"/>
              </w:rPr>
              <w:t>4 501 785,92</w:t>
            </w:r>
          </w:p>
        </w:tc>
        <w:tc>
          <w:tcPr>
            <w:tcW w:w="846" w:type="dxa"/>
            <w:tcBorders>
              <w:top w:val="single" w:sz="4" w:space="0" w:color="auto"/>
              <w:left w:val="nil"/>
              <w:bottom w:val="single" w:sz="4" w:space="0" w:color="auto"/>
              <w:right w:val="single" w:sz="4" w:space="0" w:color="auto"/>
            </w:tcBorders>
            <w:vAlign w:val="bottom"/>
            <w:hideMark/>
          </w:tcPr>
          <w:p w:rsidR="00FF2EC0" w:rsidRPr="001D50E3" w:rsidRDefault="00FF2EC0" w:rsidP="008768C7">
            <w:pPr>
              <w:spacing w:after="120" w:line="276" w:lineRule="auto"/>
              <w:jc w:val="both"/>
              <w:rPr>
                <w:rFonts w:ascii="Arial" w:eastAsia="Calibri" w:hAnsi="Arial" w:cs="Arial"/>
                <w:i/>
                <w:noProof/>
                <w:sz w:val="18"/>
                <w:szCs w:val="20"/>
              </w:rPr>
            </w:pPr>
            <w:r w:rsidRPr="001D50E3">
              <w:rPr>
                <w:rFonts w:ascii="Arial" w:eastAsia="Calibri" w:hAnsi="Arial" w:cs="Arial"/>
                <w:i/>
                <w:noProof/>
                <w:sz w:val="18"/>
                <w:szCs w:val="20"/>
              </w:rPr>
              <w:t>4 574 447,13</w:t>
            </w:r>
          </w:p>
        </w:tc>
        <w:tc>
          <w:tcPr>
            <w:tcW w:w="1276" w:type="dxa"/>
            <w:tcBorders>
              <w:top w:val="single" w:sz="4" w:space="0" w:color="auto"/>
              <w:left w:val="nil"/>
              <w:bottom w:val="single" w:sz="4" w:space="0" w:color="auto"/>
              <w:right w:val="single" w:sz="4" w:space="0" w:color="auto"/>
            </w:tcBorders>
            <w:vAlign w:val="bottom"/>
            <w:hideMark/>
          </w:tcPr>
          <w:p w:rsidR="00FF2EC0" w:rsidRPr="001D50E3" w:rsidRDefault="00FF2EC0" w:rsidP="008768C7">
            <w:pPr>
              <w:spacing w:after="120" w:line="276" w:lineRule="auto"/>
              <w:jc w:val="both"/>
              <w:rPr>
                <w:rFonts w:ascii="Arial" w:eastAsia="Calibri" w:hAnsi="Arial" w:cs="Arial"/>
                <w:i/>
                <w:noProof/>
                <w:sz w:val="18"/>
                <w:szCs w:val="20"/>
              </w:rPr>
            </w:pPr>
            <w:r w:rsidRPr="001D50E3">
              <w:rPr>
                <w:rFonts w:ascii="Arial" w:eastAsia="Calibri" w:hAnsi="Arial" w:cs="Arial"/>
                <w:i/>
                <w:noProof/>
                <w:sz w:val="18"/>
                <w:szCs w:val="20"/>
              </w:rPr>
              <w:t>4 648 561,19</w:t>
            </w:r>
          </w:p>
        </w:tc>
        <w:tc>
          <w:tcPr>
            <w:tcW w:w="1056" w:type="dxa"/>
            <w:tcBorders>
              <w:top w:val="single" w:sz="4" w:space="0" w:color="auto"/>
              <w:left w:val="nil"/>
              <w:bottom w:val="single" w:sz="4" w:space="0" w:color="auto"/>
              <w:right w:val="single" w:sz="4" w:space="0" w:color="auto"/>
            </w:tcBorders>
            <w:vAlign w:val="bottom"/>
            <w:hideMark/>
          </w:tcPr>
          <w:p w:rsidR="00FF2EC0" w:rsidRPr="001D50E3" w:rsidRDefault="00FF2EC0" w:rsidP="008768C7">
            <w:pPr>
              <w:spacing w:after="120" w:line="276" w:lineRule="auto"/>
              <w:jc w:val="both"/>
              <w:rPr>
                <w:rFonts w:ascii="Arial" w:eastAsia="Calibri" w:hAnsi="Arial" w:cs="Arial"/>
                <w:i/>
                <w:noProof/>
                <w:sz w:val="18"/>
                <w:szCs w:val="20"/>
              </w:rPr>
            </w:pPr>
            <w:r w:rsidRPr="001D50E3">
              <w:rPr>
                <w:rFonts w:ascii="Arial" w:eastAsia="Calibri" w:hAnsi="Arial" w:cs="Arial"/>
                <w:i/>
                <w:noProof/>
                <w:sz w:val="18"/>
                <w:szCs w:val="20"/>
              </w:rPr>
              <w:t>4 811 032,63</w:t>
            </w:r>
          </w:p>
        </w:tc>
        <w:tc>
          <w:tcPr>
            <w:tcW w:w="1127" w:type="dxa"/>
            <w:gridSpan w:val="2"/>
            <w:tcBorders>
              <w:top w:val="single" w:sz="4" w:space="0" w:color="auto"/>
              <w:left w:val="nil"/>
              <w:bottom w:val="single" w:sz="4" w:space="0" w:color="auto"/>
              <w:right w:val="single" w:sz="4" w:space="0" w:color="auto"/>
            </w:tcBorders>
            <w:vAlign w:val="bottom"/>
            <w:hideMark/>
          </w:tcPr>
          <w:p w:rsidR="00FF2EC0" w:rsidRPr="001D50E3" w:rsidRDefault="00FF2EC0" w:rsidP="008768C7">
            <w:pPr>
              <w:spacing w:after="120" w:line="276" w:lineRule="auto"/>
              <w:jc w:val="both"/>
              <w:rPr>
                <w:rFonts w:ascii="Arial" w:eastAsia="Calibri" w:hAnsi="Arial" w:cs="Arial"/>
                <w:i/>
                <w:noProof/>
                <w:sz w:val="18"/>
                <w:szCs w:val="20"/>
              </w:rPr>
            </w:pPr>
            <w:r w:rsidRPr="001D50E3">
              <w:rPr>
                <w:rFonts w:ascii="Arial" w:eastAsia="Calibri" w:hAnsi="Arial" w:cs="Arial"/>
                <w:i/>
                <w:noProof/>
                <w:sz w:val="18"/>
                <w:szCs w:val="20"/>
              </w:rPr>
              <w:t>3 932 531,17</w:t>
            </w:r>
          </w:p>
        </w:tc>
        <w:tc>
          <w:tcPr>
            <w:tcW w:w="987" w:type="dxa"/>
            <w:gridSpan w:val="2"/>
            <w:tcBorders>
              <w:top w:val="single" w:sz="4" w:space="0" w:color="auto"/>
              <w:left w:val="nil"/>
              <w:bottom w:val="single" w:sz="4" w:space="0" w:color="auto"/>
              <w:right w:val="single" w:sz="4" w:space="0" w:color="auto"/>
            </w:tcBorders>
            <w:vAlign w:val="bottom"/>
            <w:hideMark/>
          </w:tcPr>
          <w:p w:rsidR="00FF2EC0" w:rsidRPr="001D50E3" w:rsidRDefault="00FF2EC0" w:rsidP="008768C7">
            <w:pPr>
              <w:spacing w:after="120" w:line="276" w:lineRule="auto"/>
              <w:jc w:val="both"/>
              <w:rPr>
                <w:rFonts w:ascii="Arial" w:eastAsia="Calibri" w:hAnsi="Arial" w:cs="Arial"/>
                <w:i/>
                <w:noProof/>
                <w:sz w:val="18"/>
                <w:szCs w:val="20"/>
              </w:rPr>
            </w:pPr>
            <w:r w:rsidRPr="001D50E3">
              <w:rPr>
                <w:rFonts w:ascii="Arial" w:eastAsia="Calibri" w:hAnsi="Arial" w:cs="Arial"/>
                <w:i/>
                <w:noProof/>
                <w:sz w:val="18"/>
                <w:szCs w:val="20"/>
              </w:rPr>
              <w:t>4 011 181,96</w:t>
            </w:r>
          </w:p>
        </w:tc>
        <w:tc>
          <w:tcPr>
            <w:tcW w:w="2075" w:type="dxa"/>
            <w:gridSpan w:val="2"/>
            <w:tcBorders>
              <w:top w:val="single" w:sz="4" w:space="0" w:color="auto"/>
              <w:left w:val="nil"/>
              <w:bottom w:val="single" w:sz="4" w:space="0" w:color="auto"/>
              <w:right w:val="single" w:sz="4" w:space="0" w:color="auto"/>
            </w:tcBorders>
            <w:vAlign w:val="bottom"/>
            <w:hideMark/>
          </w:tcPr>
          <w:p w:rsidR="00FF2EC0" w:rsidRPr="001D50E3" w:rsidRDefault="00FF2EC0" w:rsidP="008768C7">
            <w:pPr>
              <w:spacing w:after="120" w:line="276" w:lineRule="auto"/>
              <w:jc w:val="both"/>
              <w:rPr>
                <w:rFonts w:ascii="Arial" w:eastAsia="Calibri" w:hAnsi="Arial" w:cs="Arial"/>
                <w:i/>
                <w:noProof/>
                <w:sz w:val="18"/>
                <w:szCs w:val="20"/>
              </w:rPr>
            </w:pPr>
            <w:r w:rsidRPr="001D50E3">
              <w:rPr>
                <w:rFonts w:ascii="Arial" w:eastAsia="Calibri" w:hAnsi="Arial" w:cs="Arial"/>
                <w:i/>
                <w:noProof/>
                <w:sz w:val="18"/>
                <w:szCs w:val="20"/>
              </w:rPr>
              <w:t>26 479 540,00</w:t>
            </w:r>
          </w:p>
        </w:tc>
      </w:tr>
    </w:tbl>
    <w:p w:rsidR="00FF2EC0" w:rsidRDefault="00FF2EC0" w:rsidP="00FF2EC0">
      <w:pPr>
        <w:jc w:val="both"/>
        <w:rPr>
          <w:u w:val="single"/>
          <w:lang w:val="sq-AL"/>
        </w:rPr>
      </w:pPr>
    </w:p>
    <w:p w:rsidR="00FF2EC0" w:rsidRPr="00783F47" w:rsidRDefault="00FF2EC0" w:rsidP="008768C7">
      <w:pPr>
        <w:spacing w:line="276" w:lineRule="auto"/>
        <w:jc w:val="both"/>
        <w:rPr>
          <w:lang w:val="sq-AL"/>
        </w:rPr>
      </w:pPr>
      <w:r>
        <w:rPr>
          <w:lang w:val="sq-AL"/>
        </w:rPr>
        <w:t>6</w:t>
      </w:r>
      <w:r w:rsidRPr="00783F47">
        <w:rPr>
          <w:lang w:val="sq-AL"/>
        </w:rPr>
        <w:t>ERFR, IPA III, ISRTS ose OCTP, ku është si një shumë e vetme sipas Interreg B dhe C.</w:t>
      </w:r>
    </w:p>
    <w:p w:rsidR="00FF2EC0" w:rsidRPr="00783F47" w:rsidRDefault="00FF2EC0" w:rsidP="008768C7">
      <w:pPr>
        <w:spacing w:line="276" w:lineRule="auto"/>
        <w:jc w:val="both"/>
        <w:rPr>
          <w:lang w:val="sq-AL"/>
        </w:rPr>
      </w:pPr>
      <w:r w:rsidRPr="00783F47">
        <w:rPr>
          <w:lang w:val="sq-AL"/>
        </w:rPr>
        <w:t xml:space="preserve">  </w:t>
      </w:r>
      <w:r>
        <w:rPr>
          <w:lang w:val="sq-AL"/>
        </w:rPr>
        <w:t>7</w:t>
      </w:r>
      <w:r w:rsidRPr="00783F47">
        <w:rPr>
          <w:lang w:val="sq-AL"/>
        </w:rPr>
        <w:t>Interreg A, bashkëpunimi i jashtëm ndërkufitar</w:t>
      </w:r>
    </w:p>
    <w:p w:rsidR="00FF2EC0" w:rsidRPr="001D50E3" w:rsidRDefault="00FF2EC0" w:rsidP="008768C7">
      <w:pPr>
        <w:spacing w:line="276" w:lineRule="auto"/>
        <w:jc w:val="both"/>
        <w:rPr>
          <w:rFonts w:ascii="Arial" w:hAnsi="Arial" w:cs="Arial"/>
          <w:lang w:val="sq-AL"/>
        </w:rPr>
      </w:pPr>
      <w:r w:rsidRPr="001D50E3">
        <w:rPr>
          <w:rFonts w:ascii="Arial" w:hAnsi="Arial" w:cs="Arial"/>
          <w:lang w:val="sq-AL"/>
        </w:rPr>
        <w:t>8  Interreg A, bashkëpunimi i jashtëm ndërkufitar.</w:t>
      </w:r>
    </w:p>
    <w:p w:rsidR="00FF2EC0" w:rsidRPr="001D50E3" w:rsidRDefault="00FF2EC0" w:rsidP="008768C7">
      <w:pPr>
        <w:spacing w:line="276" w:lineRule="auto"/>
        <w:jc w:val="both"/>
        <w:rPr>
          <w:rFonts w:ascii="Arial" w:hAnsi="Arial" w:cs="Arial"/>
          <w:lang w:val="sq-AL"/>
        </w:rPr>
      </w:pPr>
      <w:r w:rsidRPr="001D50E3">
        <w:rPr>
          <w:rFonts w:ascii="Arial" w:hAnsi="Arial" w:cs="Arial"/>
          <w:lang w:val="sq-AL"/>
        </w:rPr>
        <w:t xml:space="preserve"> 9 Interreg B dhe C</w:t>
      </w:r>
    </w:p>
    <w:p w:rsidR="00FF2EC0" w:rsidRPr="001D50E3" w:rsidRDefault="00FF2EC0" w:rsidP="008768C7">
      <w:pPr>
        <w:spacing w:line="276" w:lineRule="auto"/>
        <w:jc w:val="both"/>
        <w:rPr>
          <w:rFonts w:ascii="Arial" w:hAnsi="Arial" w:cs="Arial"/>
          <w:lang w:val="sq-AL"/>
        </w:rPr>
      </w:pPr>
      <w:r w:rsidRPr="001D50E3">
        <w:rPr>
          <w:rFonts w:ascii="Arial" w:hAnsi="Arial" w:cs="Arial"/>
          <w:lang w:val="sq-AL"/>
        </w:rPr>
        <w:t xml:space="preserve"> 10 Interreg B dhe C.</w:t>
      </w:r>
    </w:p>
    <w:p w:rsidR="00FF2EC0" w:rsidRPr="001D50E3" w:rsidRDefault="00FF2EC0" w:rsidP="008768C7">
      <w:pPr>
        <w:spacing w:line="276" w:lineRule="auto"/>
        <w:jc w:val="both"/>
        <w:rPr>
          <w:rFonts w:ascii="Arial" w:hAnsi="Arial" w:cs="Arial"/>
          <w:lang w:val="sq-AL"/>
        </w:rPr>
      </w:pPr>
      <w:r w:rsidRPr="001D50E3">
        <w:rPr>
          <w:rFonts w:ascii="Arial" w:hAnsi="Arial" w:cs="Arial"/>
          <w:lang w:val="sq-AL"/>
        </w:rPr>
        <w:t xml:space="preserve"> 11 Interreg B, C dhe D.</w:t>
      </w:r>
    </w:p>
    <w:p w:rsidR="00FF2EC0" w:rsidRPr="001D50E3" w:rsidRDefault="00FF2EC0" w:rsidP="008768C7">
      <w:pPr>
        <w:spacing w:line="276" w:lineRule="auto"/>
        <w:jc w:val="both"/>
        <w:rPr>
          <w:rFonts w:ascii="Arial" w:hAnsi="Arial" w:cs="Arial"/>
          <w:lang w:val="sq-AL"/>
        </w:rPr>
      </w:pPr>
      <w:r w:rsidRPr="001D50E3">
        <w:rPr>
          <w:rFonts w:ascii="Arial" w:hAnsi="Arial" w:cs="Arial"/>
          <w:lang w:val="sq-AL"/>
        </w:rPr>
        <w:t xml:space="preserve">  12.ERFR, IPA III, ISRTS ose OCTP, ku është si një shumë e vetme sipas Interreg B dhe C.</w:t>
      </w:r>
    </w:p>
    <w:p w:rsidR="00FF2EC0" w:rsidRPr="001D50E3" w:rsidRDefault="00FF2EC0" w:rsidP="008768C7">
      <w:pPr>
        <w:spacing w:line="276" w:lineRule="auto"/>
        <w:jc w:val="both"/>
        <w:rPr>
          <w:rFonts w:ascii="Arial" w:hAnsi="Arial" w:cs="Arial"/>
          <w:lang w:val="sq-AL"/>
        </w:rPr>
      </w:pPr>
    </w:p>
    <w:tbl>
      <w:tblPr>
        <w:tblStyle w:val="TableGrid13"/>
        <w:tblW w:w="6482" w:type="pct"/>
        <w:jc w:val="center"/>
        <w:tblLook w:val="04A0" w:firstRow="1" w:lastRow="0" w:firstColumn="1" w:lastColumn="0" w:noHBand="0" w:noVBand="1"/>
      </w:tblPr>
      <w:tblGrid>
        <w:gridCol w:w="1151"/>
        <w:gridCol w:w="940"/>
        <w:gridCol w:w="610"/>
        <w:gridCol w:w="857"/>
        <w:gridCol w:w="1453"/>
        <w:gridCol w:w="1001"/>
        <w:gridCol w:w="1001"/>
        <w:gridCol w:w="887"/>
        <w:gridCol w:w="1001"/>
        <w:gridCol w:w="770"/>
        <w:gridCol w:w="773"/>
        <w:gridCol w:w="748"/>
        <w:gridCol w:w="236"/>
        <w:gridCol w:w="509"/>
        <w:gridCol w:w="477"/>
      </w:tblGrid>
      <w:tr w:rsidR="00FF2EC0" w:rsidRPr="001D50E3" w:rsidTr="001D50E3">
        <w:trPr>
          <w:gridBefore w:val="1"/>
          <w:wBefore w:w="471" w:type="pct"/>
          <w:jc w:val="center"/>
        </w:trPr>
        <w:tc>
          <w:tcPr>
            <w:tcW w:w="639" w:type="pct"/>
            <w:gridSpan w:val="2"/>
            <w:vMerge w:val="restart"/>
            <w:tcBorders>
              <w:top w:val="single" w:sz="4" w:space="0" w:color="auto"/>
              <w:left w:val="single" w:sz="4" w:space="0" w:color="auto"/>
              <w:bottom w:val="single" w:sz="4" w:space="0" w:color="auto"/>
              <w:right w:val="single" w:sz="4" w:space="0" w:color="auto"/>
            </w:tcBorders>
            <w:hideMark/>
          </w:tcPr>
          <w:p w:rsidR="00FF2EC0" w:rsidRPr="001D50E3" w:rsidRDefault="00FF2EC0" w:rsidP="008768C7">
            <w:pPr>
              <w:spacing w:after="60" w:line="276" w:lineRule="auto"/>
              <w:jc w:val="both"/>
              <w:rPr>
                <w:rFonts w:ascii="Arial" w:eastAsia="Calibri" w:hAnsi="Arial" w:cs="Arial"/>
                <w:i/>
                <w:noProof/>
                <w:sz w:val="16"/>
                <w:szCs w:val="16"/>
              </w:rPr>
            </w:pPr>
            <w:r w:rsidRPr="001D50E3">
              <w:rPr>
                <w:rFonts w:ascii="Arial" w:eastAsia="Calibri" w:hAnsi="Arial" w:cs="Arial"/>
                <w:b/>
                <w:i/>
                <w:noProof/>
                <w:sz w:val="16"/>
                <w:szCs w:val="16"/>
                <w:lang w:val="sq-AL"/>
              </w:rPr>
              <w:t>Prioritet</w:t>
            </w:r>
            <w:r w:rsidRPr="001D50E3">
              <w:rPr>
                <w:rFonts w:ascii="Arial" w:eastAsia="Calibri" w:hAnsi="Arial" w:cs="Arial"/>
                <w:b/>
                <w:i/>
                <w:noProof/>
                <w:sz w:val="16"/>
                <w:szCs w:val="16"/>
                <w:lang w:val="mk-MK"/>
              </w:rPr>
              <w:t xml:space="preserve"> </w:t>
            </w:r>
            <w:r w:rsidRPr="001D50E3">
              <w:rPr>
                <w:rFonts w:ascii="Arial" w:eastAsia="Calibri" w:hAnsi="Arial" w:cs="Arial"/>
                <w:b/>
                <w:i/>
                <w:noProof/>
                <w:sz w:val="16"/>
                <w:szCs w:val="16"/>
              </w:rPr>
              <w:t xml:space="preserve"> 2</w:t>
            </w:r>
          </w:p>
        </w:tc>
        <w:tc>
          <w:tcPr>
            <w:tcW w:w="248" w:type="pct"/>
            <w:tcBorders>
              <w:top w:val="single" w:sz="4" w:space="0" w:color="auto"/>
              <w:left w:val="single" w:sz="4" w:space="0" w:color="auto"/>
              <w:bottom w:val="single" w:sz="4" w:space="0" w:color="auto"/>
              <w:right w:val="single" w:sz="4" w:space="0" w:color="auto"/>
            </w:tcBorders>
            <w:hideMark/>
          </w:tcPr>
          <w:p w:rsidR="00FF2EC0" w:rsidRPr="001D50E3" w:rsidRDefault="00FF2EC0" w:rsidP="008768C7">
            <w:pPr>
              <w:spacing w:after="160" w:line="276" w:lineRule="auto"/>
              <w:jc w:val="both"/>
              <w:rPr>
                <w:rFonts w:ascii="Arial" w:eastAsia="Calibri" w:hAnsi="Arial" w:cs="Arial"/>
                <w:i/>
                <w:noProof/>
                <w:sz w:val="16"/>
                <w:szCs w:val="20"/>
                <w:lang w:val="mk-MK"/>
              </w:rPr>
            </w:pPr>
            <w:r w:rsidRPr="001D50E3">
              <w:rPr>
                <w:rFonts w:ascii="Arial" w:eastAsia="Calibri" w:hAnsi="Arial" w:cs="Arial"/>
                <w:i/>
                <w:noProof/>
                <w:sz w:val="16"/>
                <w:szCs w:val="20"/>
                <w:lang w:val="mk-MK"/>
              </w:rPr>
              <w:t>ЕРФР</w:t>
            </w:r>
          </w:p>
        </w:tc>
        <w:tc>
          <w:tcPr>
            <w:tcW w:w="592" w:type="pct"/>
            <w:tcBorders>
              <w:top w:val="single" w:sz="4" w:space="0" w:color="auto"/>
              <w:left w:val="single" w:sz="4" w:space="0" w:color="auto"/>
              <w:bottom w:val="single" w:sz="4" w:space="0" w:color="auto"/>
              <w:right w:val="single" w:sz="4" w:space="0" w:color="auto"/>
            </w:tcBorders>
            <w:vAlign w:val="bottom"/>
            <w:hideMark/>
          </w:tcPr>
          <w:p w:rsidR="00FF2EC0" w:rsidRPr="001D50E3" w:rsidRDefault="00FF2EC0" w:rsidP="008768C7">
            <w:pPr>
              <w:spacing w:after="60" w:line="276" w:lineRule="auto"/>
              <w:jc w:val="both"/>
              <w:rPr>
                <w:rFonts w:ascii="Arial" w:eastAsia="Calibri" w:hAnsi="Arial" w:cs="Arial"/>
                <w:i/>
                <w:noProof/>
                <w:sz w:val="16"/>
                <w:szCs w:val="16"/>
              </w:rPr>
            </w:pPr>
            <w:r w:rsidRPr="001D50E3">
              <w:rPr>
                <w:rFonts w:ascii="Arial" w:eastAsia="Calibri" w:hAnsi="Arial" w:cs="Arial"/>
                <w:i/>
                <w:noProof/>
                <w:sz w:val="16"/>
                <w:szCs w:val="16"/>
              </w:rPr>
              <w:t>Kostot totale të pranueshme</w:t>
            </w:r>
          </w:p>
        </w:tc>
        <w:tc>
          <w:tcPr>
            <w:tcW w:w="410" w:type="pct"/>
            <w:tcBorders>
              <w:top w:val="single" w:sz="4" w:space="0" w:color="auto"/>
              <w:left w:val="single" w:sz="4" w:space="0" w:color="auto"/>
              <w:bottom w:val="single" w:sz="4" w:space="0" w:color="auto"/>
              <w:right w:val="single" w:sz="4" w:space="0" w:color="auto"/>
            </w:tcBorders>
            <w:vAlign w:val="bottom"/>
            <w:hideMark/>
          </w:tcPr>
          <w:p w:rsidR="00FF2EC0" w:rsidRPr="001D50E3" w:rsidRDefault="00FF2EC0" w:rsidP="008768C7">
            <w:pPr>
              <w:spacing w:after="60" w:line="276" w:lineRule="auto"/>
              <w:jc w:val="both"/>
              <w:rPr>
                <w:rFonts w:ascii="Arial" w:eastAsia="Calibri" w:hAnsi="Arial" w:cs="Arial"/>
                <w:i/>
                <w:noProof/>
                <w:sz w:val="16"/>
                <w:szCs w:val="16"/>
              </w:rPr>
            </w:pPr>
            <w:r w:rsidRPr="001D50E3">
              <w:rPr>
                <w:rFonts w:ascii="Arial" w:eastAsia="Calibri" w:hAnsi="Arial" w:cs="Arial"/>
                <w:i/>
                <w:noProof/>
                <w:sz w:val="16"/>
                <w:szCs w:val="20"/>
              </w:rPr>
              <w:t>4 305 616,34</w:t>
            </w:r>
          </w:p>
        </w:tc>
        <w:tc>
          <w:tcPr>
            <w:tcW w:w="410" w:type="pct"/>
            <w:tcBorders>
              <w:top w:val="single" w:sz="4" w:space="0" w:color="auto"/>
              <w:left w:val="single" w:sz="4" w:space="0" w:color="auto"/>
              <w:bottom w:val="single" w:sz="4" w:space="0" w:color="auto"/>
              <w:right w:val="single" w:sz="4" w:space="0" w:color="auto"/>
            </w:tcBorders>
            <w:vAlign w:val="bottom"/>
            <w:hideMark/>
          </w:tcPr>
          <w:p w:rsidR="00FF2EC0" w:rsidRPr="001D50E3" w:rsidRDefault="00FF2EC0" w:rsidP="008768C7">
            <w:pPr>
              <w:spacing w:after="60" w:line="276" w:lineRule="auto"/>
              <w:jc w:val="both"/>
              <w:rPr>
                <w:rFonts w:ascii="Arial" w:eastAsia="Calibri" w:hAnsi="Arial" w:cs="Arial"/>
                <w:i/>
                <w:noProof/>
                <w:sz w:val="16"/>
                <w:szCs w:val="16"/>
              </w:rPr>
            </w:pPr>
            <w:r w:rsidRPr="001D50E3">
              <w:rPr>
                <w:rFonts w:ascii="Arial" w:eastAsia="Calibri" w:hAnsi="Arial" w:cs="Arial"/>
                <w:i/>
                <w:noProof/>
                <w:sz w:val="16"/>
                <w:szCs w:val="20"/>
              </w:rPr>
              <w:t>3 914 196,67</w:t>
            </w:r>
          </w:p>
        </w:tc>
        <w:tc>
          <w:tcPr>
            <w:tcW w:w="364" w:type="pct"/>
            <w:tcBorders>
              <w:top w:val="single" w:sz="4" w:space="0" w:color="auto"/>
              <w:left w:val="single" w:sz="4" w:space="0" w:color="auto"/>
              <w:bottom w:val="single" w:sz="4" w:space="0" w:color="auto"/>
              <w:right w:val="single" w:sz="4" w:space="0" w:color="auto"/>
            </w:tcBorders>
            <w:vAlign w:val="bottom"/>
            <w:hideMark/>
          </w:tcPr>
          <w:p w:rsidR="00FF2EC0" w:rsidRPr="001D50E3" w:rsidRDefault="00FF2EC0" w:rsidP="008768C7">
            <w:pPr>
              <w:spacing w:after="60" w:line="276" w:lineRule="auto"/>
              <w:jc w:val="both"/>
              <w:rPr>
                <w:rFonts w:ascii="Arial" w:eastAsia="Calibri" w:hAnsi="Arial" w:cs="Arial"/>
                <w:i/>
                <w:noProof/>
                <w:sz w:val="16"/>
                <w:szCs w:val="16"/>
              </w:rPr>
            </w:pPr>
            <w:r w:rsidRPr="001D50E3">
              <w:rPr>
                <w:rFonts w:ascii="Arial" w:eastAsia="Calibri" w:hAnsi="Arial" w:cs="Arial"/>
                <w:i/>
                <w:noProof/>
                <w:sz w:val="16"/>
                <w:szCs w:val="20"/>
              </w:rPr>
              <w:t>391 419,67</w:t>
            </w:r>
          </w:p>
        </w:tc>
        <w:tc>
          <w:tcPr>
            <w:tcW w:w="410" w:type="pct"/>
            <w:tcBorders>
              <w:top w:val="single" w:sz="4" w:space="0" w:color="auto"/>
              <w:left w:val="single" w:sz="4" w:space="0" w:color="auto"/>
              <w:bottom w:val="single" w:sz="4" w:space="0" w:color="auto"/>
              <w:right w:val="single" w:sz="4" w:space="0" w:color="auto"/>
            </w:tcBorders>
            <w:vAlign w:val="bottom"/>
            <w:hideMark/>
          </w:tcPr>
          <w:p w:rsidR="00FF2EC0" w:rsidRPr="001D50E3" w:rsidRDefault="00FF2EC0" w:rsidP="008768C7">
            <w:pPr>
              <w:spacing w:after="60" w:line="276" w:lineRule="auto"/>
              <w:jc w:val="both"/>
              <w:rPr>
                <w:rFonts w:ascii="Arial" w:eastAsia="Calibri" w:hAnsi="Arial" w:cs="Arial"/>
                <w:i/>
                <w:noProof/>
                <w:sz w:val="16"/>
                <w:szCs w:val="16"/>
              </w:rPr>
            </w:pPr>
            <w:r w:rsidRPr="001D50E3">
              <w:rPr>
                <w:rFonts w:ascii="Arial" w:eastAsia="Calibri" w:hAnsi="Arial" w:cs="Arial"/>
                <w:i/>
                <w:noProof/>
                <w:sz w:val="16"/>
                <w:szCs w:val="20"/>
              </w:rPr>
              <w:t>759 814,65</w:t>
            </w:r>
          </w:p>
        </w:tc>
        <w:tc>
          <w:tcPr>
            <w:tcW w:w="317" w:type="pct"/>
            <w:tcBorders>
              <w:top w:val="single" w:sz="4" w:space="0" w:color="auto"/>
              <w:left w:val="single" w:sz="4" w:space="0" w:color="auto"/>
              <w:bottom w:val="single" w:sz="4" w:space="0" w:color="auto"/>
              <w:right w:val="single" w:sz="4" w:space="0" w:color="auto"/>
            </w:tcBorders>
            <w:vAlign w:val="bottom"/>
            <w:hideMark/>
          </w:tcPr>
          <w:p w:rsidR="00FF2EC0" w:rsidRPr="001D50E3" w:rsidRDefault="00FF2EC0" w:rsidP="008768C7">
            <w:pPr>
              <w:spacing w:after="60" w:line="276" w:lineRule="auto"/>
              <w:jc w:val="both"/>
              <w:rPr>
                <w:rFonts w:ascii="Arial" w:eastAsia="Calibri" w:hAnsi="Arial" w:cs="Arial"/>
                <w:i/>
                <w:noProof/>
                <w:sz w:val="16"/>
                <w:szCs w:val="16"/>
              </w:rPr>
            </w:pPr>
            <w:r w:rsidRPr="001D50E3">
              <w:rPr>
                <w:rFonts w:ascii="Arial" w:eastAsia="Calibri" w:hAnsi="Arial" w:cs="Arial"/>
                <w:i/>
                <w:noProof/>
                <w:sz w:val="16"/>
                <w:szCs w:val="20"/>
              </w:rPr>
              <w:t>379 907,33</w:t>
            </w:r>
          </w:p>
        </w:tc>
        <w:tc>
          <w:tcPr>
            <w:tcW w:w="318" w:type="pct"/>
            <w:tcBorders>
              <w:top w:val="single" w:sz="4" w:space="0" w:color="auto"/>
              <w:left w:val="single" w:sz="4" w:space="0" w:color="auto"/>
              <w:bottom w:val="single" w:sz="4" w:space="0" w:color="auto"/>
              <w:right w:val="single" w:sz="4" w:space="0" w:color="auto"/>
            </w:tcBorders>
            <w:vAlign w:val="bottom"/>
            <w:hideMark/>
          </w:tcPr>
          <w:p w:rsidR="00FF2EC0" w:rsidRPr="001D50E3" w:rsidRDefault="00FF2EC0" w:rsidP="008768C7">
            <w:pPr>
              <w:spacing w:after="60" w:line="276" w:lineRule="auto"/>
              <w:jc w:val="both"/>
              <w:rPr>
                <w:rFonts w:ascii="Arial" w:eastAsia="Calibri" w:hAnsi="Arial" w:cs="Arial"/>
                <w:i/>
                <w:noProof/>
                <w:sz w:val="16"/>
                <w:szCs w:val="16"/>
              </w:rPr>
            </w:pPr>
            <w:r w:rsidRPr="001D50E3">
              <w:rPr>
                <w:rFonts w:ascii="Arial" w:eastAsia="Calibri" w:hAnsi="Arial" w:cs="Arial"/>
                <w:i/>
                <w:noProof/>
                <w:sz w:val="16"/>
                <w:szCs w:val="20"/>
              </w:rPr>
              <w:t>379 907,32</w:t>
            </w:r>
          </w:p>
        </w:tc>
        <w:tc>
          <w:tcPr>
            <w:tcW w:w="410" w:type="pct"/>
            <w:gridSpan w:val="2"/>
            <w:tcBorders>
              <w:top w:val="single" w:sz="4" w:space="0" w:color="auto"/>
              <w:left w:val="single" w:sz="4" w:space="0" w:color="auto"/>
              <w:bottom w:val="single" w:sz="4" w:space="0" w:color="auto"/>
              <w:right w:val="single" w:sz="4" w:space="0" w:color="auto"/>
            </w:tcBorders>
            <w:vAlign w:val="bottom"/>
            <w:hideMark/>
          </w:tcPr>
          <w:p w:rsidR="00FF2EC0" w:rsidRPr="001D50E3" w:rsidRDefault="00FF2EC0" w:rsidP="008768C7">
            <w:pPr>
              <w:spacing w:after="60" w:line="276" w:lineRule="auto"/>
              <w:jc w:val="both"/>
              <w:rPr>
                <w:rFonts w:ascii="Arial" w:eastAsia="Calibri" w:hAnsi="Arial" w:cs="Arial"/>
                <w:i/>
                <w:noProof/>
                <w:sz w:val="16"/>
                <w:szCs w:val="16"/>
              </w:rPr>
            </w:pPr>
            <w:r w:rsidRPr="001D50E3">
              <w:rPr>
                <w:rFonts w:ascii="Arial" w:eastAsia="Calibri" w:hAnsi="Arial" w:cs="Arial"/>
                <w:i/>
                <w:noProof/>
                <w:sz w:val="16"/>
                <w:szCs w:val="20"/>
              </w:rPr>
              <w:t>5 065 430,99</w:t>
            </w:r>
          </w:p>
        </w:tc>
        <w:tc>
          <w:tcPr>
            <w:tcW w:w="412" w:type="pct"/>
            <w:gridSpan w:val="2"/>
            <w:tcBorders>
              <w:top w:val="single" w:sz="4" w:space="0" w:color="auto"/>
              <w:left w:val="single" w:sz="4" w:space="0" w:color="auto"/>
              <w:bottom w:val="single" w:sz="4" w:space="0" w:color="auto"/>
              <w:right w:val="single" w:sz="4" w:space="0" w:color="auto"/>
            </w:tcBorders>
            <w:vAlign w:val="bottom"/>
            <w:hideMark/>
          </w:tcPr>
          <w:p w:rsidR="00FF2EC0" w:rsidRPr="001D50E3" w:rsidRDefault="00FF2EC0" w:rsidP="008768C7">
            <w:pPr>
              <w:spacing w:after="60" w:line="276" w:lineRule="auto"/>
              <w:jc w:val="both"/>
              <w:rPr>
                <w:rFonts w:ascii="Arial" w:eastAsia="Calibri" w:hAnsi="Arial" w:cs="Arial"/>
                <w:i/>
                <w:noProof/>
                <w:sz w:val="16"/>
                <w:szCs w:val="16"/>
              </w:rPr>
            </w:pPr>
            <w:r w:rsidRPr="001D50E3">
              <w:rPr>
                <w:rFonts w:ascii="Arial" w:eastAsia="Calibri" w:hAnsi="Arial" w:cs="Arial"/>
                <w:i/>
                <w:noProof/>
                <w:sz w:val="16"/>
                <w:szCs w:val="20"/>
              </w:rPr>
              <w:t>0,85</w:t>
            </w:r>
          </w:p>
        </w:tc>
      </w:tr>
      <w:tr w:rsidR="00FF2EC0" w:rsidRPr="001D50E3" w:rsidTr="001D50E3">
        <w:trPr>
          <w:gridBefore w:val="1"/>
          <w:wBefore w:w="471" w:type="pct"/>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F2EC0" w:rsidRPr="001D50E3" w:rsidRDefault="00FF2EC0" w:rsidP="008768C7">
            <w:pPr>
              <w:spacing w:line="276" w:lineRule="auto"/>
              <w:jc w:val="both"/>
              <w:rPr>
                <w:rFonts w:ascii="Arial" w:eastAsia="Calibri" w:hAnsi="Arial" w:cs="Arial"/>
                <w:i/>
                <w:noProof/>
                <w:sz w:val="16"/>
                <w:szCs w:val="16"/>
              </w:rPr>
            </w:pPr>
          </w:p>
        </w:tc>
        <w:tc>
          <w:tcPr>
            <w:tcW w:w="248" w:type="pct"/>
            <w:tcBorders>
              <w:top w:val="single" w:sz="4" w:space="0" w:color="auto"/>
              <w:left w:val="single" w:sz="4" w:space="0" w:color="auto"/>
              <w:bottom w:val="single" w:sz="4" w:space="0" w:color="auto"/>
              <w:right w:val="single" w:sz="4" w:space="0" w:color="auto"/>
            </w:tcBorders>
            <w:hideMark/>
          </w:tcPr>
          <w:p w:rsidR="00FF2EC0" w:rsidRPr="001D50E3" w:rsidRDefault="00FF2EC0" w:rsidP="008768C7">
            <w:pPr>
              <w:spacing w:after="160" w:line="276" w:lineRule="auto"/>
              <w:jc w:val="both"/>
              <w:rPr>
                <w:rFonts w:ascii="Arial" w:eastAsia="Calibri" w:hAnsi="Arial" w:cs="Arial"/>
                <w:i/>
                <w:noProof/>
                <w:sz w:val="16"/>
                <w:szCs w:val="20"/>
                <w:lang w:val="sq-AL"/>
              </w:rPr>
            </w:pPr>
            <w:r w:rsidRPr="001D50E3">
              <w:rPr>
                <w:rFonts w:ascii="Arial" w:eastAsia="Calibri" w:hAnsi="Arial" w:cs="Arial"/>
                <w:i/>
                <w:noProof/>
                <w:sz w:val="16"/>
                <w:szCs w:val="20"/>
                <w:lang w:val="sq-AL"/>
              </w:rPr>
              <w:t>IPA</w:t>
            </w:r>
            <w:r w:rsidRPr="001D50E3">
              <w:rPr>
                <w:rFonts w:ascii="Arial" w:eastAsia="Calibri" w:hAnsi="Arial" w:cs="Arial"/>
                <w:noProof/>
                <w:sz w:val="16"/>
              </w:rPr>
              <w:t> </w:t>
            </w:r>
            <w:r w:rsidRPr="001D50E3">
              <w:rPr>
                <w:rFonts w:ascii="Arial" w:eastAsia="Calibri" w:hAnsi="Arial" w:cs="Arial"/>
                <w:i/>
                <w:noProof/>
                <w:sz w:val="16"/>
                <w:szCs w:val="20"/>
              </w:rPr>
              <w:t xml:space="preserve">III </w:t>
            </w:r>
            <w:r w:rsidRPr="001D50E3">
              <w:rPr>
                <w:rFonts w:ascii="Arial" w:eastAsia="Calibri" w:hAnsi="Arial" w:cs="Arial"/>
                <w:i/>
                <w:noProof/>
                <w:sz w:val="16"/>
                <w:szCs w:val="20"/>
                <w:lang w:val="sq-AL"/>
              </w:rPr>
              <w:t>BNK</w:t>
            </w:r>
          </w:p>
        </w:tc>
        <w:tc>
          <w:tcPr>
            <w:tcW w:w="592" w:type="pct"/>
            <w:tcBorders>
              <w:top w:val="single" w:sz="4" w:space="0" w:color="auto"/>
              <w:left w:val="single" w:sz="4" w:space="0" w:color="auto"/>
              <w:bottom w:val="single" w:sz="4" w:space="0" w:color="auto"/>
              <w:right w:val="single" w:sz="4" w:space="0" w:color="auto"/>
            </w:tcBorders>
            <w:vAlign w:val="bottom"/>
            <w:hideMark/>
          </w:tcPr>
          <w:p w:rsidR="00FF2EC0" w:rsidRPr="001D50E3" w:rsidRDefault="00FF2EC0" w:rsidP="008768C7">
            <w:pPr>
              <w:spacing w:after="60" w:line="276" w:lineRule="auto"/>
              <w:jc w:val="both"/>
              <w:rPr>
                <w:rFonts w:ascii="Arial" w:eastAsia="Calibri" w:hAnsi="Arial" w:cs="Arial"/>
                <w:i/>
                <w:noProof/>
                <w:sz w:val="16"/>
                <w:szCs w:val="16"/>
                <w:lang w:val="sq-AL"/>
              </w:rPr>
            </w:pPr>
            <w:r w:rsidRPr="001D50E3">
              <w:rPr>
                <w:rFonts w:ascii="Arial" w:eastAsia="Calibri" w:hAnsi="Arial" w:cs="Arial"/>
                <w:i/>
                <w:noProof/>
                <w:sz w:val="16"/>
                <w:szCs w:val="16"/>
                <w:lang w:val="sq-AL"/>
              </w:rPr>
              <w:t xml:space="preserve">Shpenzimet te pergjtihshme te pranuara </w:t>
            </w:r>
          </w:p>
        </w:tc>
        <w:tc>
          <w:tcPr>
            <w:tcW w:w="410" w:type="pct"/>
            <w:tcBorders>
              <w:top w:val="single" w:sz="4" w:space="0" w:color="auto"/>
              <w:left w:val="single" w:sz="4" w:space="0" w:color="auto"/>
              <w:bottom w:val="single" w:sz="4" w:space="0" w:color="auto"/>
              <w:right w:val="single" w:sz="4" w:space="0" w:color="auto"/>
            </w:tcBorders>
            <w:vAlign w:val="bottom"/>
            <w:hideMark/>
          </w:tcPr>
          <w:p w:rsidR="00FF2EC0" w:rsidRPr="001D50E3" w:rsidRDefault="00FF2EC0" w:rsidP="008768C7">
            <w:pPr>
              <w:spacing w:after="60" w:line="276" w:lineRule="auto"/>
              <w:jc w:val="both"/>
              <w:rPr>
                <w:rFonts w:ascii="Arial" w:eastAsia="Calibri" w:hAnsi="Arial" w:cs="Arial"/>
                <w:i/>
                <w:noProof/>
                <w:sz w:val="16"/>
                <w:szCs w:val="16"/>
              </w:rPr>
            </w:pPr>
            <w:r w:rsidRPr="001D50E3">
              <w:rPr>
                <w:rFonts w:ascii="Arial" w:eastAsia="Calibri" w:hAnsi="Arial" w:cs="Arial"/>
                <w:i/>
                <w:noProof/>
                <w:sz w:val="16"/>
                <w:szCs w:val="20"/>
              </w:rPr>
              <w:t>4 475 688,03</w:t>
            </w:r>
          </w:p>
        </w:tc>
        <w:tc>
          <w:tcPr>
            <w:tcW w:w="410" w:type="pct"/>
            <w:tcBorders>
              <w:top w:val="single" w:sz="4" w:space="0" w:color="auto"/>
              <w:left w:val="single" w:sz="4" w:space="0" w:color="auto"/>
              <w:bottom w:val="single" w:sz="4" w:space="0" w:color="auto"/>
              <w:right w:val="single" w:sz="4" w:space="0" w:color="auto"/>
            </w:tcBorders>
            <w:vAlign w:val="bottom"/>
            <w:hideMark/>
          </w:tcPr>
          <w:p w:rsidR="00FF2EC0" w:rsidRPr="001D50E3" w:rsidRDefault="00FF2EC0" w:rsidP="008768C7">
            <w:pPr>
              <w:spacing w:after="60" w:line="276" w:lineRule="auto"/>
              <w:jc w:val="both"/>
              <w:rPr>
                <w:rFonts w:ascii="Arial" w:eastAsia="Calibri" w:hAnsi="Arial" w:cs="Arial"/>
                <w:i/>
                <w:noProof/>
                <w:sz w:val="16"/>
                <w:szCs w:val="16"/>
              </w:rPr>
            </w:pPr>
            <w:r w:rsidRPr="001D50E3">
              <w:rPr>
                <w:rFonts w:ascii="Arial" w:eastAsia="Calibri" w:hAnsi="Arial" w:cs="Arial"/>
                <w:i/>
                <w:noProof/>
                <w:sz w:val="16"/>
                <w:szCs w:val="20"/>
              </w:rPr>
              <w:t>4 068 807,30</w:t>
            </w:r>
          </w:p>
        </w:tc>
        <w:tc>
          <w:tcPr>
            <w:tcW w:w="364" w:type="pct"/>
            <w:tcBorders>
              <w:top w:val="single" w:sz="4" w:space="0" w:color="auto"/>
              <w:left w:val="single" w:sz="4" w:space="0" w:color="auto"/>
              <w:bottom w:val="single" w:sz="4" w:space="0" w:color="auto"/>
              <w:right w:val="single" w:sz="4" w:space="0" w:color="auto"/>
            </w:tcBorders>
            <w:vAlign w:val="bottom"/>
            <w:hideMark/>
          </w:tcPr>
          <w:p w:rsidR="00FF2EC0" w:rsidRPr="001D50E3" w:rsidRDefault="00FF2EC0" w:rsidP="008768C7">
            <w:pPr>
              <w:spacing w:after="60" w:line="276" w:lineRule="auto"/>
              <w:jc w:val="both"/>
              <w:rPr>
                <w:rFonts w:ascii="Arial" w:eastAsia="Calibri" w:hAnsi="Arial" w:cs="Arial"/>
                <w:i/>
                <w:noProof/>
                <w:sz w:val="16"/>
                <w:szCs w:val="16"/>
              </w:rPr>
            </w:pPr>
            <w:r w:rsidRPr="001D50E3">
              <w:rPr>
                <w:rFonts w:ascii="Arial" w:eastAsia="Calibri" w:hAnsi="Arial" w:cs="Arial"/>
                <w:i/>
                <w:noProof/>
                <w:sz w:val="16"/>
                <w:szCs w:val="20"/>
              </w:rPr>
              <w:t>406 880,73</w:t>
            </w:r>
          </w:p>
        </w:tc>
        <w:tc>
          <w:tcPr>
            <w:tcW w:w="410" w:type="pct"/>
            <w:tcBorders>
              <w:top w:val="single" w:sz="4" w:space="0" w:color="auto"/>
              <w:left w:val="single" w:sz="4" w:space="0" w:color="auto"/>
              <w:bottom w:val="single" w:sz="4" w:space="0" w:color="auto"/>
              <w:right w:val="single" w:sz="4" w:space="0" w:color="auto"/>
            </w:tcBorders>
            <w:vAlign w:val="bottom"/>
            <w:hideMark/>
          </w:tcPr>
          <w:p w:rsidR="00FF2EC0" w:rsidRPr="001D50E3" w:rsidRDefault="00FF2EC0" w:rsidP="008768C7">
            <w:pPr>
              <w:spacing w:after="60" w:line="276" w:lineRule="auto"/>
              <w:jc w:val="both"/>
              <w:rPr>
                <w:rFonts w:ascii="Arial" w:eastAsia="Calibri" w:hAnsi="Arial" w:cs="Arial"/>
                <w:i/>
                <w:noProof/>
                <w:sz w:val="16"/>
                <w:szCs w:val="16"/>
              </w:rPr>
            </w:pPr>
            <w:r w:rsidRPr="001D50E3">
              <w:rPr>
                <w:rFonts w:ascii="Arial" w:eastAsia="Calibri" w:hAnsi="Arial" w:cs="Arial"/>
                <w:i/>
                <w:noProof/>
                <w:sz w:val="16"/>
                <w:szCs w:val="20"/>
              </w:rPr>
              <w:t>789 827,31</w:t>
            </w:r>
          </w:p>
        </w:tc>
        <w:tc>
          <w:tcPr>
            <w:tcW w:w="317" w:type="pct"/>
            <w:tcBorders>
              <w:top w:val="single" w:sz="4" w:space="0" w:color="auto"/>
              <w:left w:val="single" w:sz="4" w:space="0" w:color="auto"/>
              <w:bottom w:val="single" w:sz="4" w:space="0" w:color="auto"/>
              <w:right w:val="single" w:sz="4" w:space="0" w:color="auto"/>
            </w:tcBorders>
            <w:vAlign w:val="bottom"/>
            <w:hideMark/>
          </w:tcPr>
          <w:p w:rsidR="00FF2EC0" w:rsidRPr="001D50E3" w:rsidRDefault="00FF2EC0" w:rsidP="008768C7">
            <w:pPr>
              <w:spacing w:after="60" w:line="276" w:lineRule="auto"/>
              <w:jc w:val="both"/>
              <w:rPr>
                <w:rFonts w:ascii="Arial" w:eastAsia="Calibri" w:hAnsi="Arial" w:cs="Arial"/>
                <w:i/>
                <w:noProof/>
                <w:sz w:val="16"/>
                <w:szCs w:val="16"/>
              </w:rPr>
            </w:pPr>
            <w:r w:rsidRPr="001D50E3">
              <w:rPr>
                <w:rFonts w:ascii="Arial" w:eastAsia="Calibri" w:hAnsi="Arial" w:cs="Arial"/>
                <w:i/>
                <w:noProof/>
                <w:sz w:val="16"/>
                <w:szCs w:val="20"/>
              </w:rPr>
              <w:t>394 913,66</w:t>
            </w:r>
          </w:p>
        </w:tc>
        <w:tc>
          <w:tcPr>
            <w:tcW w:w="318" w:type="pct"/>
            <w:tcBorders>
              <w:top w:val="single" w:sz="4" w:space="0" w:color="auto"/>
              <w:left w:val="single" w:sz="4" w:space="0" w:color="auto"/>
              <w:bottom w:val="single" w:sz="4" w:space="0" w:color="auto"/>
              <w:right w:val="single" w:sz="4" w:space="0" w:color="auto"/>
            </w:tcBorders>
            <w:vAlign w:val="bottom"/>
            <w:hideMark/>
          </w:tcPr>
          <w:p w:rsidR="00FF2EC0" w:rsidRPr="001D50E3" w:rsidRDefault="00FF2EC0" w:rsidP="008768C7">
            <w:pPr>
              <w:spacing w:after="60" w:line="276" w:lineRule="auto"/>
              <w:jc w:val="both"/>
              <w:rPr>
                <w:rFonts w:ascii="Arial" w:eastAsia="Calibri" w:hAnsi="Arial" w:cs="Arial"/>
                <w:i/>
                <w:noProof/>
                <w:sz w:val="16"/>
                <w:szCs w:val="16"/>
              </w:rPr>
            </w:pPr>
            <w:r w:rsidRPr="001D50E3">
              <w:rPr>
                <w:rFonts w:ascii="Arial" w:eastAsia="Calibri" w:hAnsi="Arial" w:cs="Arial"/>
                <w:i/>
                <w:noProof/>
                <w:sz w:val="16"/>
                <w:szCs w:val="20"/>
              </w:rPr>
              <w:t>394 913,66</w:t>
            </w:r>
          </w:p>
        </w:tc>
        <w:tc>
          <w:tcPr>
            <w:tcW w:w="410" w:type="pct"/>
            <w:gridSpan w:val="2"/>
            <w:tcBorders>
              <w:top w:val="single" w:sz="4" w:space="0" w:color="auto"/>
              <w:left w:val="single" w:sz="4" w:space="0" w:color="auto"/>
              <w:bottom w:val="single" w:sz="4" w:space="0" w:color="auto"/>
              <w:right w:val="single" w:sz="4" w:space="0" w:color="auto"/>
            </w:tcBorders>
            <w:vAlign w:val="bottom"/>
            <w:hideMark/>
          </w:tcPr>
          <w:p w:rsidR="00FF2EC0" w:rsidRPr="001D50E3" w:rsidRDefault="00FF2EC0" w:rsidP="008768C7">
            <w:pPr>
              <w:spacing w:after="60" w:line="276" w:lineRule="auto"/>
              <w:jc w:val="both"/>
              <w:rPr>
                <w:rFonts w:ascii="Arial" w:eastAsia="Calibri" w:hAnsi="Arial" w:cs="Arial"/>
                <w:i/>
                <w:noProof/>
                <w:sz w:val="16"/>
                <w:szCs w:val="16"/>
              </w:rPr>
            </w:pPr>
            <w:r w:rsidRPr="001D50E3">
              <w:rPr>
                <w:rFonts w:ascii="Arial" w:eastAsia="Calibri" w:hAnsi="Arial" w:cs="Arial"/>
                <w:i/>
                <w:noProof/>
                <w:sz w:val="16"/>
                <w:szCs w:val="20"/>
              </w:rPr>
              <w:t>5 265 515,34</w:t>
            </w:r>
          </w:p>
        </w:tc>
        <w:tc>
          <w:tcPr>
            <w:tcW w:w="412" w:type="pct"/>
            <w:gridSpan w:val="2"/>
            <w:tcBorders>
              <w:top w:val="single" w:sz="4" w:space="0" w:color="auto"/>
              <w:left w:val="single" w:sz="4" w:space="0" w:color="auto"/>
              <w:bottom w:val="single" w:sz="4" w:space="0" w:color="auto"/>
              <w:right w:val="single" w:sz="4" w:space="0" w:color="auto"/>
            </w:tcBorders>
            <w:vAlign w:val="bottom"/>
            <w:hideMark/>
          </w:tcPr>
          <w:p w:rsidR="00FF2EC0" w:rsidRPr="001D50E3" w:rsidRDefault="00FF2EC0" w:rsidP="008768C7">
            <w:pPr>
              <w:spacing w:after="60" w:line="276" w:lineRule="auto"/>
              <w:jc w:val="both"/>
              <w:rPr>
                <w:rFonts w:ascii="Arial" w:eastAsia="Calibri" w:hAnsi="Arial" w:cs="Arial"/>
                <w:i/>
                <w:noProof/>
                <w:sz w:val="16"/>
                <w:szCs w:val="16"/>
              </w:rPr>
            </w:pPr>
            <w:r w:rsidRPr="001D50E3">
              <w:rPr>
                <w:rFonts w:ascii="Arial" w:eastAsia="Calibri" w:hAnsi="Arial" w:cs="Arial"/>
                <w:i/>
                <w:noProof/>
                <w:sz w:val="16"/>
                <w:szCs w:val="20"/>
              </w:rPr>
              <w:t>0,85</w:t>
            </w:r>
          </w:p>
        </w:tc>
      </w:tr>
      <w:tr w:rsidR="00FF2EC0" w:rsidRPr="001D50E3" w:rsidTr="001D50E3">
        <w:trPr>
          <w:gridBefore w:val="1"/>
          <w:wBefore w:w="471" w:type="pct"/>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F2EC0" w:rsidRPr="001D50E3" w:rsidRDefault="00FF2EC0" w:rsidP="008768C7">
            <w:pPr>
              <w:spacing w:line="276" w:lineRule="auto"/>
              <w:jc w:val="both"/>
              <w:rPr>
                <w:rFonts w:ascii="Arial" w:eastAsia="Calibri" w:hAnsi="Arial" w:cs="Arial"/>
                <w:i/>
                <w:noProof/>
                <w:sz w:val="16"/>
                <w:szCs w:val="16"/>
              </w:rPr>
            </w:pPr>
          </w:p>
        </w:tc>
        <w:tc>
          <w:tcPr>
            <w:tcW w:w="248" w:type="pct"/>
            <w:tcBorders>
              <w:top w:val="single" w:sz="4" w:space="0" w:color="auto"/>
              <w:left w:val="single" w:sz="4" w:space="0" w:color="auto"/>
              <w:bottom w:val="single" w:sz="4" w:space="0" w:color="auto"/>
              <w:right w:val="single" w:sz="4" w:space="0" w:color="auto"/>
            </w:tcBorders>
            <w:hideMark/>
          </w:tcPr>
          <w:p w:rsidR="00FF2EC0" w:rsidRPr="001D50E3" w:rsidRDefault="00FF2EC0" w:rsidP="008768C7">
            <w:pPr>
              <w:spacing w:after="160" w:line="276" w:lineRule="auto"/>
              <w:jc w:val="both"/>
              <w:rPr>
                <w:rFonts w:ascii="Arial" w:eastAsia="Calibri" w:hAnsi="Arial" w:cs="Arial"/>
                <w:i/>
                <w:noProof/>
                <w:sz w:val="16"/>
                <w:szCs w:val="20"/>
                <w:lang w:val="sq-AL"/>
              </w:rPr>
            </w:pPr>
            <w:r w:rsidRPr="001D50E3">
              <w:rPr>
                <w:rFonts w:ascii="Arial" w:eastAsia="Calibri" w:hAnsi="Arial" w:cs="Arial"/>
                <w:i/>
                <w:noProof/>
                <w:sz w:val="16"/>
                <w:szCs w:val="20"/>
                <w:lang w:val="sq-AL"/>
              </w:rPr>
              <w:t>BNK ke komshite</w:t>
            </w:r>
          </w:p>
        </w:tc>
        <w:tc>
          <w:tcPr>
            <w:tcW w:w="592" w:type="pct"/>
            <w:tcBorders>
              <w:top w:val="single" w:sz="4" w:space="0" w:color="auto"/>
              <w:left w:val="single" w:sz="4" w:space="0" w:color="auto"/>
              <w:bottom w:val="single" w:sz="4" w:space="0" w:color="auto"/>
              <w:right w:val="single" w:sz="4" w:space="0" w:color="auto"/>
            </w:tcBorders>
          </w:tcPr>
          <w:p w:rsidR="00FF2EC0" w:rsidRPr="001D50E3" w:rsidRDefault="00FF2EC0" w:rsidP="008768C7">
            <w:pPr>
              <w:spacing w:after="60" w:line="276" w:lineRule="auto"/>
              <w:jc w:val="both"/>
              <w:rPr>
                <w:rFonts w:ascii="Arial" w:eastAsia="Calibri" w:hAnsi="Arial" w:cs="Arial"/>
                <w:i/>
                <w:noProof/>
                <w:sz w:val="16"/>
                <w:szCs w:val="16"/>
              </w:rPr>
            </w:pPr>
          </w:p>
        </w:tc>
        <w:tc>
          <w:tcPr>
            <w:tcW w:w="410" w:type="pct"/>
            <w:tcBorders>
              <w:top w:val="single" w:sz="4" w:space="0" w:color="auto"/>
              <w:left w:val="single" w:sz="4" w:space="0" w:color="auto"/>
              <w:bottom w:val="single" w:sz="4" w:space="0" w:color="auto"/>
              <w:right w:val="single" w:sz="4" w:space="0" w:color="auto"/>
            </w:tcBorders>
          </w:tcPr>
          <w:p w:rsidR="00FF2EC0" w:rsidRPr="001D50E3" w:rsidRDefault="00FF2EC0" w:rsidP="008768C7">
            <w:pPr>
              <w:spacing w:after="60" w:line="276" w:lineRule="auto"/>
              <w:jc w:val="both"/>
              <w:rPr>
                <w:rFonts w:ascii="Arial" w:eastAsia="Calibri" w:hAnsi="Arial" w:cs="Arial"/>
                <w:i/>
                <w:noProof/>
                <w:sz w:val="16"/>
                <w:szCs w:val="16"/>
              </w:rPr>
            </w:pPr>
          </w:p>
        </w:tc>
        <w:tc>
          <w:tcPr>
            <w:tcW w:w="410" w:type="pct"/>
            <w:tcBorders>
              <w:top w:val="single" w:sz="4" w:space="0" w:color="auto"/>
              <w:left w:val="single" w:sz="4" w:space="0" w:color="auto"/>
              <w:bottom w:val="single" w:sz="4" w:space="0" w:color="auto"/>
              <w:right w:val="single" w:sz="4" w:space="0" w:color="auto"/>
            </w:tcBorders>
          </w:tcPr>
          <w:p w:rsidR="00FF2EC0" w:rsidRPr="001D50E3" w:rsidRDefault="00FF2EC0" w:rsidP="008768C7">
            <w:pPr>
              <w:spacing w:after="60" w:line="276" w:lineRule="auto"/>
              <w:jc w:val="both"/>
              <w:rPr>
                <w:rFonts w:ascii="Arial" w:eastAsia="Calibri" w:hAnsi="Arial" w:cs="Arial"/>
                <w:i/>
                <w:noProof/>
                <w:sz w:val="16"/>
                <w:szCs w:val="16"/>
              </w:rPr>
            </w:pPr>
          </w:p>
        </w:tc>
        <w:tc>
          <w:tcPr>
            <w:tcW w:w="364" w:type="pct"/>
            <w:tcBorders>
              <w:top w:val="single" w:sz="4" w:space="0" w:color="auto"/>
              <w:left w:val="single" w:sz="4" w:space="0" w:color="auto"/>
              <w:bottom w:val="single" w:sz="4" w:space="0" w:color="auto"/>
              <w:right w:val="single" w:sz="4" w:space="0" w:color="auto"/>
            </w:tcBorders>
          </w:tcPr>
          <w:p w:rsidR="00FF2EC0" w:rsidRPr="001D50E3" w:rsidRDefault="00FF2EC0" w:rsidP="008768C7">
            <w:pPr>
              <w:spacing w:after="60" w:line="276" w:lineRule="auto"/>
              <w:jc w:val="both"/>
              <w:rPr>
                <w:rFonts w:ascii="Arial" w:eastAsia="Calibri" w:hAnsi="Arial" w:cs="Arial"/>
                <w:i/>
                <w:noProof/>
                <w:sz w:val="16"/>
                <w:szCs w:val="16"/>
              </w:rPr>
            </w:pPr>
          </w:p>
        </w:tc>
        <w:tc>
          <w:tcPr>
            <w:tcW w:w="410" w:type="pct"/>
            <w:tcBorders>
              <w:top w:val="single" w:sz="4" w:space="0" w:color="auto"/>
              <w:left w:val="single" w:sz="4" w:space="0" w:color="auto"/>
              <w:bottom w:val="single" w:sz="4" w:space="0" w:color="auto"/>
              <w:right w:val="single" w:sz="4" w:space="0" w:color="auto"/>
            </w:tcBorders>
          </w:tcPr>
          <w:p w:rsidR="00FF2EC0" w:rsidRPr="001D50E3" w:rsidRDefault="00FF2EC0" w:rsidP="008768C7">
            <w:pPr>
              <w:spacing w:after="60" w:line="276" w:lineRule="auto"/>
              <w:jc w:val="both"/>
              <w:rPr>
                <w:rFonts w:ascii="Arial" w:eastAsia="Calibri" w:hAnsi="Arial" w:cs="Arial"/>
                <w:i/>
                <w:noProof/>
                <w:sz w:val="16"/>
                <w:szCs w:val="16"/>
              </w:rPr>
            </w:pPr>
          </w:p>
        </w:tc>
        <w:tc>
          <w:tcPr>
            <w:tcW w:w="317" w:type="pct"/>
            <w:tcBorders>
              <w:top w:val="single" w:sz="4" w:space="0" w:color="auto"/>
              <w:left w:val="single" w:sz="4" w:space="0" w:color="auto"/>
              <w:bottom w:val="single" w:sz="4" w:space="0" w:color="auto"/>
              <w:right w:val="single" w:sz="4" w:space="0" w:color="auto"/>
            </w:tcBorders>
          </w:tcPr>
          <w:p w:rsidR="00FF2EC0" w:rsidRPr="001D50E3" w:rsidRDefault="00FF2EC0" w:rsidP="008768C7">
            <w:pPr>
              <w:spacing w:after="60" w:line="276" w:lineRule="auto"/>
              <w:jc w:val="both"/>
              <w:rPr>
                <w:rFonts w:ascii="Arial" w:eastAsia="Calibri" w:hAnsi="Arial" w:cs="Arial"/>
                <w:i/>
                <w:noProof/>
                <w:sz w:val="16"/>
                <w:szCs w:val="16"/>
              </w:rPr>
            </w:pPr>
          </w:p>
        </w:tc>
        <w:tc>
          <w:tcPr>
            <w:tcW w:w="318" w:type="pct"/>
            <w:tcBorders>
              <w:top w:val="single" w:sz="4" w:space="0" w:color="auto"/>
              <w:left w:val="single" w:sz="4" w:space="0" w:color="auto"/>
              <w:bottom w:val="single" w:sz="4" w:space="0" w:color="auto"/>
              <w:right w:val="single" w:sz="4" w:space="0" w:color="auto"/>
            </w:tcBorders>
          </w:tcPr>
          <w:p w:rsidR="00FF2EC0" w:rsidRPr="001D50E3" w:rsidRDefault="00FF2EC0" w:rsidP="008768C7">
            <w:pPr>
              <w:spacing w:after="60" w:line="276" w:lineRule="auto"/>
              <w:jc w:val="both"/>
              <w:rPr>
                <w:rFonts w:ascii="Arial" w:eastAsia="Calibri" w:hAnsi="Arial" w:cs="Arial"/>
                <w:i/>
                <w:noProof/>
                <w:sz w:val="16"/>
                <w:szCs w:val="16"/>
              </w:rPr>
            </w:pPr>
          </w:p>
        </w:tc>
        <w:tc>
          <w:tcPr>
            <w:tcW w:w="410" w:type="pct"/>
            <w:gridSpan w:val="2"/>
            <w:tcBorders>
              <w:top w:val="single" w:sz="4" w:space="0" w:color="auto"/>
              <w:left w:val="single" w:sz="4" w:space="0" w:color="auto"/>
              <w:bottom w:val="single" w:sz="4" w:space="0" w:color="auto"/>
              <w:right w:val="single" w:sz="4" w:space="0" w:color="auto"/>
            </w:tcBorders>
          </w:tcPr>
          <w:p w:rsidR="00FF2EC0" w:rsidRPr="001D50E3" w:rsidRDefault="00FF2EC0" w:rsidP="008768C7">
            <w:pPr>
              <w:spacing w:after="60" w:line="276" w:lineRule="auto"/>
              <w:jc w:val="both"/>
              <w:rPr>
                <w:rFonts w:ascii="Arial" w:eastAsia="Calibri" w:hAnsi="Arial" w:cs="Arial"/>
                <w:i/>
                <w:noProof/>
                <w:sz w:val="16"/>
                <w:szCs w:val="16"/>
              </w:rPr>
            </w:pPr>
          </w:p>
        </w:tc>
        <w:tc>
          <w:tcPr>
            <w:tcW w:w="412" w:type="pct"/>
            <w:gridSpan w:val="2"/>
            <w:tcBorders>
              <w:top w:val="single" w:sz="4" w:space="0" w:color="auto"/>
              <w:left w:val="single" w:sz="4" w:space="0" w:color="auto"/>
              <w:bottom w:val="single" w:sz="4" w:space="0" w:color="auto"/>
              <w:right w:val="single" w:sz="4" w:space="0" w:color="auto"/>
            </w:tcBorders>
          </w:tcPr>
          <w:p w:rsidR="00FF2EC0" w:rsidRPr="001D50E3" w:rsidRDefault="00FF2EC0" w:rsidP="008768C7">
            <w:pPr>
              <w:spacing w:after="60" w:line="276" w:lineRule="auto"/>
              <w:jc w:val="both"/>
              <w:rPr>
                <w:rFonts w:ascii="Arial" w:eastAsia="Calibri" w:hAnsi="Arial" w:cs="Arial"/>
                <w:i/>
                <w:noProof/>
                <w:sz w:val="16"/>
                <w:szCs w:val="16"/>
              </w:rPr>
            </w:pPr>
          </w:p>
        </w:tc>
      </w:tr>
      <w:tr w:rsidR="00FF2EC0" w:rsidRPr="001D50E3" w:rsidTr="001D50E3">
        <w:trPr>
          <w:gridBefore w:val="1"/>
          <w:wBefore w:w="471" w:type="pct"/>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F2EC0" w:rsidRPr="001D50E3" w:rsidRDefault="00FF2EC0" w:rsidP="00754C28">
            <w:pPr>
              <w:jc w:val="both"/>
              <w:rPr>
                <w:rFonts w:ascii="Arial" w:eastAsia="Calibri" w:hAnsi="Arial" w:cs="Arial"/>
                <w:i/>
                <w:noProof/>
                <w:sz w:val="16"/>
                <w:szCs w:val="16"/>
              </w:rPr>
            </w:pPr>
          </w:p>
        </w:tc>
        <w:tc>
          <w:tcPr>
            <w:tcW w:w="248" w:type="pct"/>
            <w:tcBorders>
              <w:top w:val="single" w:sz="4" w:space="0" w:color="auto"/>
              <w:left w:val="single" w:sz="4" w:space="0" w:color="auto"/>
              <w:bottom w:val="single" w:sz="4" w:space="0" w:color="auto"/>
              <w:right w:val="single" w:sz="4" w:space="0" w:color="auto"/>
            </w:tcBorders>
            <w:hideMark/>
          </w:tcPr>
          <w:p w:rsidR="00FF2EC0" w:rsidRPr="001D50E3" w:rsidRDefault="00FF2EC0" w:rsidP="00754C28">
            <w:pPr>
              <w:spacing w:after="160"/>
              <w:jc w:val="both"/>
              <w:rPr>
                <w:rFonts w:ascii="Arial" w:eastAsia="Calibri" w:hAnsi="Arial" w:cs="Arial"/>
                <w:i/>
                <w:noProof/>
                <w:sz w:val="16"/>
                <w:szCs w:val="20"/>
              </w:rPr>
            </w:pPr>
            <w:r w:rsidRPr="001D50E3">
              <w:rPr>
                <w:rFonts w:ascii="Arial" w:eastAsia="Calibri" w:hAnsi="Arial" w:cs="Arial"/>
                <w:i/>
                <w:noProof/>
                <w:sz w:val="16"/>
                <w:szCs w:val="20"/>
                <w:lang w:val="sq-AL"/>
              </w:rPr>
              <w:t xml:space="preserve">IPA </w:t>
            </w:r>
            <w:r w:rsidRPr="001D50E3">
              <w:rPr>
                <w:rFonts w:ascii="Arial" w:eastAsia="Calibri" w:hAnsi="Arial" w:cs="Arial"/>
                <w:i/>
                <w:noProof/>
                <w:sz w:val="16"/>
                <w:szCs w:val="20"/>
              </w:rPr>
              <w:t>III</w:t>
            </w:r>
          </w:p>
        </w:tc>
        <w:tc>
          <w:tcPr>
            <w:tcW w:w="592" w:type="pct"/>
            <w:tcBorders>
              <w:top w:val="single" w:sz="4" w:space="0" w:color="auto"/>
              <w:left w:val="single" w:sz="4" w:space="0" w:color="auto"/>
              <w:bottom w:val="single" w:sz="4" w:space="0" w:color="auto"/>
              <w:right w:val="single" w:sz="4" w:space="0" w:color="auto"/>
            </w:tcBorders>
          </w:tcPr>
          <w:p w:rsidR="00FF2EC0" w:rsidRPr="001D50E3" w:rsidRDefault="00FF2EC0" w:rsidP="00754C28">
            <w:pPr>
              <w:spacing w:after="60"/>
              <w:jc w:val="both"/>
              <w:rPr>
                <w:rFonts w:ascii="Arial" w:eastAsia="Calibri" w:hAnsi="Arial" w:cs="Arial"/>
                <w:i/>
                <w:noProof/>
                <w:sz w:val="16"/>
                <w:szCs w:val="16"/>
              </w:rPr>
            </w:pPr>
          </w:p>
        </w:tc>
        <w:tc>
          <w:tcPr>
            <w:tcW w:w="410" w:type="pct"/>
            <w:tcBorders>
              <w:top w:val="single" w:sz="4" w:space="0" w:color="auto"/>
              <w:left w:val="single" w:sz="4" w:space="0" w:color="auto"/>
              <w:bottom w:val="single" w:sz="4" w:space="0" w:color="auto"/>
              <w:right w:val="single" w:sz="4" w:space="0" w:color="auto"/>
            </w:tcBorders>
          </w:tcPr>
          <w:p w:rsidR="00FF2EC0" w:rsidRPr="001D50E3" w:rsidRDefault="00FF2EC0" w:rsidP="00754C28">
            <w:pPr>
              <w:spacing w:after="60"/>
              <w:jc w:val="both"/>
              <w:rPr>
                <w:rFonts w:ascii="Arial" w:eastAsia="Calibri" w:hAnsi="Arial" w:cs="Arial"/>
                <w:i/>
                <w:noProof/>
                <w:sz w:val="16"/>
                <w:szCs w:val="16"/>
              </w:rPr>
            </w:pPr>
          </w:p>
        </w:tc>
        <w:tc>
          <w:tcPr>
            <w:tcW w:w="410" w:type="pct"/>
            <w:tcBorders>
              <w:top w:val="single" w:sz="4" w:space="0" w:color="auto"/>
              <w:left w:val="single" w:sz="4" w:space="0" w:color="auto"/>
              <w:bottom w:val="single" w:sz="4" w:space="0" w:color="auto"/>
              <w:right w:val="single" w:sz="4" w:space="0" w:color="auto"/>
            </w:tcBorders>
          </w:tcPr>
          <w:p w:rsidR="00FF2EC0" w:rsidRPr="001D50E3" w:rsidRDefault="00FF2EC0" w:rsidP="00754C28">
            <w:pPr>
              <w:spacing w:after="60"/>
              <w:jc w:val="both"/>
              <w:rPr>
                <w:rFonts w:ascii="Arial" w:eastAsia="Calibri" w:hAnsi="Arial" w:cs="Arial"/>
                <w:i/>
                <w:noProof/>
                <w:sz w:val="16"/>
                <w:szCs w:val="16"/>
              </w:rPr>
            </w:pPr>
          </w:p>
        </w:tc>
        <w:tc>
          <w:tcPr>
            <w:tcW w:w="364" w:type="pct"/>
            <w:tcBorders>
              <w:top w:val="single" w:sz="4" w:space="0" w:color="auto"/>
              <w:left w:val="single" w:sz="4" w:space="0" w:color="auto"/>
              <w:bottom w:val="single" w:sz="4" w:space="0" w:color="auto"/>
              <w:right w:val="single" w:sz="4" w:space="0" w:color="auto"/>
            </w:tcBorders>
          </w:tcPr>
          <w:p w:rsidR="00FF2EC0" w:rsidRPr="001D50E3" w:rsidRDefault="00FF2EC0" w:rsidP="00754C28">
            <w:pPr>
              <w:spacing w:after="60"/>
              <w:jc w:val="both"/>
              <w:rPr>
                <w:rFonts w:ascii="Arial" w:eastAsia="Calibri" w:hAnsi="Arial" w:cs="Arial"/>
                <w:i/>
                <w:noProof/>
                <w:sz w:val="16"/>
                <w:szCs w:val="16"/>
              </w:rPr>
            </w:pPr>
          </w:p>
        </w:tc>
        <w:tc>
          <w:tcPr>
            <w:tcW w:w="410" w:type="pct"/>
            <w:tcBorders>
              <w:top w:val="single" w:sz="4" w:space="0" w:color="auto"/>
              <w:left w:val="single" w:sz="4" w:space="0" w:color="auto"/>
              <w:bottom w:val="single" w:sz="4" w:space="0" w:color="auto"/>
              <w:right w:val="single" w:sz="4" w:space="0" w:color="auto"/>
            </w:tcBorders>
          </w:tcPr>
          <w:p w:rsidR="00FF2EC0" w:rsidRPr="001D50E3" w:rsidRDefault="00FF2EC0" w:rsidP="00754C28">
            <w:pPr>
              <w:spacing w:after="60"/>
              <w:jc w:val="both"/>
              <w:rPr>
                <w:rFonts w:ascii="Arial" w:eastAsia="Calibri" w:hAnsi="Arial" w:cs="Arial"/>
                <w:i/>
                <w:noProof/>
                <w:sz w:val="16"/>
                <w:szCs w:val="16"/>
              </w:rPr>
            </w:pPr>
          </w:p>
        </w:tc>
        <w:tc>
          <w:tcPr>
            <w:tcW w:w="317" w:type="pct"/>
            <w:tcBorders>
              <w:top w:val="single" w:sz="4" w:space="0" w:color="auto"/>
              <w:left w:val="single" w:sz="4" w:space="0" w:color="auto"/>
              <w:bottom w:val="single" w:sz="4" w:space="0" w:color="auto"/>
              <w:right w:val="single" w:sz="4" w:space="0" w:color="auto"/>
            </w:tcBorders>
          </w:tcPr>
          <w:p w:rsidR="00FF2EC0" w:rsidRPr="001D50E3" w:rsidRDefault="00FF2EC0" w:rsidP="00754C28">
            <w:pPr>
              <w:spacing w:after="60"/>
              <w:jc w:val="both"/>
              <w:rPr>
                <w:rFonts w:ascii="Arial" w:eastAsia="Calibri" w:hAnsi="Arial" w:cs="Arial"/>
                <w:i/>
                <w:noProof/>
                <w:sz w:val="16"/>
                <w:szCs w:val="16"/>
              </w:rPr>
            </w:pPr>
          </w:p>
        </w:tc>
        <w:tc>
          <w:tcPr>
            <w:tcW w:w="318" w:type="pct"/>
            <w:tcBorders>
              <w:top w:val="single" w:sz="4" w:space="0" w:color="auto"/>
              <w:left w:val="single" w:sz="4" w:space="0" w:color="auto"/>
              <w:bottom w:val="single" w:sz="4" w:space="0" w:color="auto"/>
              <w:right w:val="single" w:sz="4" w:space="0" w:color="auto"/>
            </w:tcBorders>
          </w:tcPr>
          <w:p w:rsidR="00FF2EC0" w:rsidRPr="001D50E3" w:rsidRDefault="00FF2EC0" w:rsidP="00754C28">
            <w:pPr>
              <w:spacing w:after="60"/>
              <w:jc w:val="both"/>
              <w:rPr>
                <w:rFonts w:ascii="Arial" w:eastAsia="Calibri" w:hAnsi="Arial" w:cs="Arial"/>
                <w:i/>
                <w:noProof/>
                <w:sz w:val="16"/>
                <w:szCs w:val="16"/>
              </w:rPr>
            </w:pPr>
          </w:p>
        </w:tc>
        <w:tc>
          <w:tcPr>
            <w:tcW w:w="410" w:type="pct"/>
            <w:gridSpan w:val="2"/>
            <w:tcBorders>
              <w:top w:val="single" w:sz="4" w:space="0" w:color="auto"/>
              <w:left w:val="single" w:sz="4" w:space="0" w:color="auto"/>
              <w:bottom w:val="single" w:sz="4" w:space="0" w:color="auto"/>
              <w:right w:val="single" w:sz="4" w:space="0" w:color="auto"/>
            </w:tcBorders>
          </w:tcPr>
          <w:p w:rsidR="00FF2EC0" w:rsidRPr="001D50E3" w:rsidRDefault="00FF2EC0" w:rsidP="00754C28">
            <w:pPr>
              <w:spacing w:after="60"/>
              <w:jc w:val="both"/>
              <w:rPr>
                <w:rFonts w:ascii="Arial" w:eastAsia="Calibri" w:hAnsi="Arial" w:cs="Arial"/>
                <w:i/>
                <w:noProof/>
                <w:sz w:val="16"/>
                <w:szCs w:val="16"/>
              </w:rPr>
            </w:pPr>
          </w:p>
        </w:tc>
        <w:tc>
          <w:tcPr>
            <w:tcW w:w="412" w:type="pct"/>
            <w:gridSpan w:val="2"/>
            <w:tcBorders>
              <w:top w:val="single" w:sz="4" w:space="0" w:color="auto"/>
              <w:left w:val="single" w:sz="4" w:space="0" w:color="auto"/>
              <w:bottom w:val="single" w:sz="4" w:space="0" w:color="auto"/>
              <w:right w:val="single" w:sz="4" w:space="0" w:color="auto"/>
            </w:tcBorders>
          </w:tcPr>
          <w:p w:rsidR="00FF2EC0" w:rsidRPr="001D50E3" w:rsidRDefault="00FF2EC0" w:rsidP="00754C28">
            <w:pPr>
              <w:spacing w:after="60"/>
              <w:jc w:val="both"/>
              <w:rPr>
                <w:rFonts w:ascii="Arial" w:eastAsia="Calibri" w:hAnsi="Arial" w:cs="Arial"/>
                <w:i/>
                <w:noProof/>
                <w:sz w:val="16"/>
                <w:szCs w:val="16"/>
              </w:rPr>
            </w:pPr>
          </w:p>
        </w:tc>
      </w:tr>
      <w:tr w:rsidR="00FF2EC0" w:rsidRPr="001D50E3" w:rsidTr="001D50E3">
        <w:trPr>
          <w:gridBefore w:val="1"/>
          <w:wBefore w:w="471" w:type="pct"/>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F2EC0" w:rsidRPr="001D50E3" w:rsidRDefault="00FF2EC0" w:rsidP="00754C28">
            <w:pPr>
              <w:jc w:val="both"/>
              <w:rPr>
                <w:rFonts w:ascii="Arial" w:eastAsia="Calibri" w:hAnsi="Arial" w:cs="Arial"/>
                <w:i/>
                <w:noProof/>
                <w:sz w:val="16"/>
                <w:szCs w:val="16"/>
              </w:rPr>
            </w:pPr>
          </w:p>
        </w:tc>
        <w:tc>
          <w:tcPr>
            <w:tcW w:w="248" w:type="pct"/>
            <w:tcBorders>
              <w:top w:val="single" w:sz="4" w:space="0" w:color="auto"/>
              <w:left w:val="single" w:sz="4" w:space="0" w:color="auto"/>
              <w:bottom w:val="single" w:sz="4" w:space="0" w:color="auto"/>
              <w:right w:val="single" w:sz="4" w:space="0" w:color="auto"/>
            </w:tcBorders>
            <w:hideMark/>
          </w:tcPr>
          <w:p w:rsidR="00FF2EC0" w:rsidRPr="001D50E3" w:rsidRDefault="00FF2EC0" w:rsidP="00754C28">
            <w:pPr>
              <w:spacing w:after="160"/>
              <w:jc w:val="both"/>
              <w:rPr>
                <w:rFonts w:ascii="Arial" w:eastAsia="Calibri" w:hAnsi="Arial" w:cs="Arial"/>
                <w:i/>
                <w:noProof/>
                <w:sz w:val="16"/>
                <w:szCs w:val="20"/>
                <w:lang w:val="mk-MK"/>
              </w:rPr>
            </w:pPr>
            <w:r w:rsidRPr="001D50E3">
              <w:rPr>
                <w:rFonts w:ascii="Arial" w:eastAsia="Calibri" w:hAnsi="Arial" w:cs="Arial"/>
                <w:i/>
                <w:noProof/>
                <w:sz w:val="16"/>
                <w:szCs w:val="20"/>
                <w:lang w:val="mk-MK"/>
              </w:rPr>
              <w:t>ИСРТС</w:t>
            </w:r>
          </w:p>
        </w:tc>
        <w:tc>
          <w:tcPr>
            <w:tcW w:w="592" w:type="pct"/>
            <w:tcBorders>
              <w:top w:val="single" w:sz="4" w:space="0" w:color="auto"/>
              <w:left w:val="single" w:sz="4" w:space="0" w:color="auto"/>
              <w:bottom w:val="single" w:sz="4" w:space="0" w:color="auto"/>
              <w:right w:val="single" w:sz="4" w:space="0" w:color="auto"/>
            </w:tcBorders>
          </w:tcPr>
          <w:p w:rsidR="00FF2EC0" w:rsidRPr="001D50E3" w:rsidRDefault="00FF2EC0" w:rsidP="00754C28">
            <w:pPr>
              <w:spacing w:after="60"/>
              <w:jc w:val="both"/>
              <w:rPr>
                <w:rFonts w:ascii="Arial" w:eastAsia="Calibri" w:hAnsi="Arial" w:cs="Arial"/>
                <w:i/>
                <w:noProof/>
                <w:sz w:val="16"/>
                <w:szCs w:val="16"/>
              </w:rPr>
            </w:pPr>
          </w:p>
        </w:tc>
        <w:tc>
          <w:tcPr>
            <w:tcW w:w="410" w:type="pct"/>
            <w:tcBorders>
              <w:top w:val="single" w:sz="4" w:space="0" w:color="auto"/>
              <w:left w:val="single" w:sz="4" w:space="0" w:color="auto"/>
              <w:bottom w:val="single" w:sz="4" w:space="0" w:color="auto"/>
              <w:right w:val="single" w:sz="4" w:space="0" w:color="auto"/>
            </w:tcBorders>
          </w:tcPr>
          <w:p w:rsidR="00FF2EC0" w:rsidRPr="001D50E3" w:rsidRDefault="00FF2EC0" w:rsidP="00754C28">
            <w:pPr>
              <w:spacing w:after="60"/>
              <w:jc w:val="both"/>
              <w:rPr>
                <w:rFonts w:ascii="Arial" w:eastAsia="Calibri" w:hAnsi="Arial" w:cs="Arial"/>
                <w:i/>
                <w:noProof/>
                <w:sz w:val="16"/>
                <w:szCs w:val="16"/>
              </w:rPr>
            </w:pPr>
          </w:p>
        </w:tc>
        <w:tc>
          <w:tcPr>
            <w:tcW w:w="410" w:type="pct"/>
            <w:tcBorders>
              <w:top w:val="single" w:sz="4" w:space="0" w:color="auto"/>
              <w:left w:val="single" w:sz="4" w:space="0" w:color="auto"/>
              <w:bottom w:val="single" w:sz="4" w:space="0" w:color="auto"/>
              <w:right w:val="single" w:sz="4" w:space="0" w:color="auto"/>
            </w:tcBorders>
          </w:tcPr>
          <w:p w:rsidR="00FF2EC0" w:rsidRPr="001D50E3" w:rsidRDefault="00FF2EC0" w:rsidP="00754C28">
            <w:pPr>
              <w:spacing w:after="60"/>
              <w:jc w:val="both"/>
              <w:rPr>
                <w:rFonts w:ascii="Arial" w:eastAsia="Calibri" w:hAnsi="Arial" w:cs="Arial"/>
                <w:i/>
                <w:noProof/>
                <w:sz w:val="16"/>
                <w:szCs w:val="16"/>
              </w:rPr>
            </w:pPr>
          </w:p>
        </w:tc>
        <w:tc>
          <w:tcPr>
            <w:tcW w:w="364" w:type="pct"/>
            <w:tcBorders>
              <w:top w:val="single" w:sz="4" w:space="0" w:color="auto"/>
              <w:left w:val="single" w:sz="4" w:space="0" w:color="auto"/>
              <w:bottom w:val="single" w:sz="4" w:space="0" w:color="auto"/>
              <w:right w:val="single" w:sz="4" w:space="0" w:color="auto"/>
            </w:tcBorders>
          </w:tcPr>
          <w:p w:rsidR="00FF2EC0" w:rsidRPr="001D50E3" w:rsidRDefault="00FF2EC0" w:rsidP="00754C28">
            <w:pPr>
              <w:spacing w:after="60"/>
              <w:jc w:val="both"/>
              <w:rPr>
                <w:rFonts w:ascii="Arial" w:eastAsia="Calibri" w:hAnsi="Arial" w:cs="Arial"/>
                <w:i/>
                <w:noProof/>
                <w:sz w:val="16"/>
                <w:szCs w:val="16"/>
              </w:rPr>
            </w:pPr>
          </w:p>
        </w:tc>
        <w:tc>
          <w:tcPr>
            <w:tcW w:w="410" w:type="pct"/>
            <w:tcBorders>
              <w:top w:val="single" w:sz="4" w:space="0" w:color="auto"/>
              <w:left w:val="single" w:sz="4" w:space="0" w:color="auto"/>
              <w:bottom w:val="single" w:sz="4" w:space="0" w:color="auto"/>
              <w:right w:val="single" w:sz="4" w:space="0" w:color="auto"/>
            </w:tcBorders>
          </w:tcPr>
          <w:p w:rsidR="00FF2EC0" w:rsidRPr="001D50E3" w:rsidRDefault="00FF2EC0" w:rsidP="00754C28">
            <w:pPr>
              <w:spacing w:after="60"/>
              <w:jc w:val="both"/>
              <w:rPr>
                <w:rFonts w:ascii="Arial" w:eastAsia="Calibri" w:hAnsi="Arial" w:cs="Arial"/>
                <w:i/>
                <w:noProof/>
                <w:sz w:val="16"/>
                <w:szCs w:val="16"/>
              </w:rPr>
            </w:pPr>
          </w:p>
        </w:tc>
        <w:tc>
          <w:tcPr>
            <w:tcW w:w="317" w:type="pct"/>
            <w:tcBorders>
              <w:top w:val="single" w:sz="4" w:space="0" w:color="auto"/>
              <w:left w:val="single" w:sz="4" w:space="0" w:color="auto"/>
              <w:bottom w:val="single" w:sz="4" w:space="0" w:color="auto"/>
              <w:right w:val="single" w:sz="4" w:space="0" w:color="auto"/>
            </w:tcBorders>
          </w:tcPr>
          <w:p w:rsidR="00FF2EC0" w:rsidRPr="001D50E3" w:rsidRDefault="00FF2EC0" w:rsidP="00754C28">
            <w:pPr>
              <w:spacing w:after="60"/>
              <w:jc w:val="both"/>
              <w:rPr>
                <w:rFonts w:ascii="Arial" w:eastAsia="Calibri" w:hAnsi="Arial" w:cs="Arial"/>
                <w:i/>
                <w:noProof/>
                <w:sz w:val="16"/>
                <w:szCs w:val="16"/>
              </w:rPr>
            </w:pPr>
          </w:p>
        </w:tc>
        <w:tc>
          <w:tcPr>
            <w:tcW w:w="318" w:type="pct"/>
            <w:tcBorders>
              <w:top w:val="single" w:sz="4" w:space="0" w:color="auto"/>
              <w:left w:val="single" w:sz="4" w:space="0" w:color="auto"/>
              <w:bottom w:val="single" w:sz="4" w:space="0" w:color="auto"/>
              <w:right w:val="single" w:sz="4" w:space="0" w:color="auto"/>
            </w:tcBorders>
          </w:tcPr>
          <w:p w:rsidR="00FF2EC0" w:rsidRPr="001D50E3" w:rsidRDefault="00FF2EC0" w:rsidP="00754C28">
            <w:pPr>
              <w:spacing w:after="60"/>
              <w:jc w:val="both"/>
              <w:rPr>
                <w:rFonts w:ascii="Arial" w:eastAsia="Calibri" w:hAnsi="Arial" w:cs="Arial"/>
                <w:i/>
                <w:noProof/>
                <w:sz w:val="16"/>
                <w:szCs w:val="16"/>
              </w:rPr>
            </w:pPr>
          </w:p>
        </w:tc>
        <w:tc>
          <w:tcPr>
            <w:tcW w:w="410" w:type="pct"/>
            <w:gridSpan w:val="2"/>
            <w:tcBorders>
              <w:top w:val="single" w:sz="4" w:space="0" w:color="auto"/>
              <w:left w:val="single" w:sz="4" w:space="0" w:color="auto"/>
              <w:bottom w:val="single" w:sz="4" w:space="0" w:color="auto"/>
              <w:right w:val="single" w:sz="4" w:space="0" w:color="auto"/>
            </w:tcBorders>
          </w:tcPr>
          <w:p w:rsidR="00FF2EC0" w:rsidRPr="001D50E3" w:rsidRDefault="00FF2EC0" w:rsidP="00754C28">
            <w:pPr>
              <w:spacing w:after="60"/>
              <w:jc w:val="both"/>
              <w:rPr>
                <w:rFonts w:ascii="Arial" w:eastAsia="Calibri" w:hAnsi="Arial" w:cs="Arial"/>
                <w:i/>
                <w:noProof/>
                <w:sz w:val="16"/>
                <w:szCs w:val="16"/>
              </w:rPr>
            </w:pPr>
          </w:p>
        </w:tc>
        <w:tc>
          <w:tcPr>
            <w:tcW w:w="412" w:type="pct"/>
            <w:gridSpan w:val="2"/>
            <w:tcBorders>
              <w:top w:val="single" w:sz="4" w:space="0" w:color="auto"/>
              <w:left w:val="single" w:sz="4" w:space="0" w:color="auto"/>
              <w:bottom w:val="single" w:sz="4" w:space="0" w:color="auto"/>
              <w:right w:val="single" w:sz="4" w:space="0" w:color="auto"/>
            </w:tcBorders>
          </w:tcPr>
          <w:p w:rsidR="00FF2EC0" w:rsidRPr="001D50E3" w:rsidRDefault="00FF2EC0" w:rsidP="00754C28">
            <w:pPr>
              <w:spacing w:after="60"/>
              <w:jc w:val="both"/>
              <w:rPr>
                <w:rFonts w:ascii="Arial" w:eastAsia="Calibri" w:hAnsi="Arial" w:cs="Arial"/>
                <w:i/>
                <w:noProof/>
                <w:sz w:val="16"/>
                <w:szCs w:val="16"/>
              </w:rPr>
            </w:pPr>
          </w:p>
        </w:tc>
      </w:tr>
      <w:tr w:rsidR="00FF2EC0" w:rsidRPr="001D50E3" w:rsidTr="001D50E3">
        <w:trPr>
          <w:gridBefore w:val="1"/>
          <w:wBefore w:w="471" w:type="pct"/>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F2EC0" w:rsidRPr="001D50E3" w:rsidRDefault="00FF2EC0" w:rsidP="00754C28">
            <w:pPr>
              <w:jc w:val="both"/>
              <w:rPr>
                <w:rFonts w:ascii="Arial" w:eastAsia="Calibri" w:hAnsi="Arial" w:cs="Arial"/>
                <w:i/>
                <w:noProof/>
                <w:sz w:val="16"/>
                <w:szCs w:val="16"/>
              </w:rPr>
            </w:pPr>
          </w:p>
        </w:tc>
        <w:tc>
          <w:tcPr>
            <w:tcW w:w="248" w:type="pct"/>
            <w:tcBorders>
              <w:top w:val="single" w:sz="4" w:space="0" w:color="auto"/>
              <w:left w:val="single" w:sz="4" w:space="0" w:color="auto"/>
              <w:bottom w:val="single" w:sz="4" w:space="0" w:color="auto"/>
              <w:right w:val="single" w:sz="4" w:space="0" w:color="auto"/>
            </w:tcBorders>
            <w:hideMark/>
          </w:tcPr>
          <w:p w:rsidR="00FF2EC0" w:rsidRPr="001D50E3" w:rsidRDefault="00FF2EC0" w:rsidP="00754C28">
            <w:pPr>
              <w:spacing w:after="160"/>
              <w:jc w:val="both"/>
              <w:rPr>
                <w:rFonts w:ascii="Arial" w:eastAsia="Calibri" w:hAnsi="Arial" w:cs="Arial"/>
                <w:i/>
                <w:noProof/>
                <w:sz w:val="16"/>
                <w:szCs w:val="20"/>
              </w:rPr>
            </w:pPr>
            <w:r w:rsidRPr="001D50E3">
              <w:rPr>
                <w:rFonts w:ascii="Arial" w:eastAsia="Calibri" w:hAnsi="Arial" w:cs="Arial"/>
                <w:i/>
                <w:noProof/>
                <w:sz w:val="16"/>
                <w:szCs w:val="20"/>
              </w:rPr>
              <w:t>OCTP</w:t>
            </w:r>
          </w:p>
        </w:tc>
        <w:tc>
          <w:tcPr>
            <w:tcW w:w="592" w:type="pct"/>
            <w:tcBorders>
              <w:top w:val="single" w:sz="4" w:space="0" w:color="auto"/>
              <w:left w:val="single" w:sz="4" w:space="0" w:color="auto"/>
              <w:bottom w:val="single" w:sz="4" w:space="0" w:color="auto"/>
              <w:right w:val="single" w:sz="4" w:space="0" w:color="auto"/>
            </w:tcBorders>
          </w:tcPr>
          <w:p w:rsidR="00FF2EC0" w:rsidRPr="001D50E3" w:rsidRDefault="00FF2EC0" w:rsidP="00754C28">
            <w:pPr>
              <w:spacing w:after="60"/>
              <w:jc w:val="both"/>
              <w:rPr>
                <w:rFonts w:ascii="Arial" w:eastAsia="Calibri" w:hAnsi="Arial" w:cs="Arial"/>
                <w:i/>
                <w:noProof/>
                <w:sz w:val="16"/>
                <w:szCs w:val="16"/>
              </w:rPr>
            </w:pPr>
          </w:p>
        </w:tc>
        <w:tc>
          <w:tcPr>
            <w:tcW w:w="410" w:type="pct"/>
            <w:tcBorders>
              <w:top w:val="single" w:sz="4" w:space="0" w:color="auto"/>
              <w:left w:val="single" w:sz="4" w:space="0" w:color="auto"/>
              <w:bottom w:val="single" w:sz="4" w:space="0" w:color="auto"/>
              <w:right w:val="single" w:sz="4" w:space="0" w:color="auto"/>
            </w:tcBorders>
          </w:tcPr>
          <w:p w:rsidR="00FF2EC0" w:rsidRPr="001D50E3" w:rsidRDefault="00FF2EC0" w:rsidP="00754C28">
            <w:pPr>
              <w:spacing w:after="60"/>
              <w:jc w:val="both"/>
              <w:rPr>
                <w:rFonts w:ascii="Arial" w:eastAsia="Calibri" w:hAnsi="Arial" w:cs="Arial"/>
                <w:i/>
                <w:noProof/>
                <w:sz w:val="16"/>
                <w:szCs w:val="16"/>
              </w:rPr>
            </w:pPr>
          </w:p>
        </w:tc>
        <w:tc>
          <w:tcPr>
            <w:tcW w:w="410" w:type="pct"/>
            <w:tcBorders>
              <w:top w:val="single" w:sz="4" w:space="0" w:color="auto"/>
              <w:left w:val="single" w:sz="4" w:space="0" w:color="auto"/>
              <w:bottom w:val="single" w:sz="4" w:space="0" w:color="auto"/>
              <w:right w:val="single" w:sz="4" w:space="0" w:color="auto"/>
            </w:tcBorders>
          </w:tcPr>
          <w:p w:rsidR="00FF2EC0" w:rsidRPr="001D50E3" w:rsidRDefault="00FF2EC0" w:rsidP="00754C28">
            <w:pPr>
              <w:spacing w:after="60"/>
              <w:jc w:val="both"/>
              <w:rPr>
                <w:rFonts w:ascii="Arial" w:eastAsia="Calibri" w:hAnsi="Arial" w:cs="Arial"/>
                <w:i/>
                <w:noProof/>
                <w:sz w:val="16"/>
                <w:szCs w:val="16"/>
              </w:rPr>
            </w:pPr>
          </w:p>
        </w:tc>
        <w:tc>
          <w:tcPr>
            <w:tcW w:w="364" w:type="pct"/>
            <w:tcBorders>
              <w:top w:val="single" w:sz="4" w:space="0" w:color="auto"/>
              <w:left w:val="single" w:sz="4" w:space="0" w:color="auto"/>
              <w:bottom w:val="single" w:sz="4" w:space="0" w:color="auto"/>
              <w:right w:val="single" w:sz="4" w:space="0" w:color="auto"/>
            </w:tcBorders>
          </w:tcPr>
          <w:p w:rsidR="00FF2EC0" w:rsidRPr="001D50E3" w:rsidRDefault="00FF2EC0" w:rsidP="00754C28">
            <w:pPr>
              <w:spacing w:after="60"/>
              <w:jc w:val="both"/>
              <w:rPr>
                <w:rFonts w:ascii="Arial" w:eastAsia="Calibri" w:hAnsi="Arial" w:cs="Arial"/>
                <w:i/>
                <w:noProof/>
                <w:sz w:val="16"/>
                <w:szCs w:val="16"/>
              </w:rPr>
            </w:pPr>
          </w:p>
        </w:tc>
        <w:tc>
          <w:tcPr>
            <w:tcW w:w="410" w:type="pct"/>
            <w:tcBorders>
              <w:top w:val="single" w:sz="4" w:space="0" w:color="auto"/>
              <w:left w:val="single" w:sz="4" w:space="0" w:color="auto"/>
              <w:bottom w:val="single" w:sz="4" w:space="0" w:color="auto"/>
              <w:right w:val="single" w:sz="4" w:space="0" w:color="auto"/>
            </w:tcBorders>
          </w:tcPr>
          <w:p w:rsidR="00FF2EC0" w:rsidRPr="001D50E3" w:rsidRDefault="00FF2EC0" w:rsidP="00754C28">
            <w:pPr>
              <w:spacing w:after="60"/>
              <w:jc w:val="both"/>
              <w:rPr>
                <w:rFonts w:ascii="Arial" w:eastAsia="Calibri" w:hAnsi="Arial" w:cs="Arial"/>
                <w:i/>
                <w:noProof/>
                <w:sz w:val="16"/>
                <w:szCs w:val="16"/>
              </w:rPr>
            </w:pPr>
          </w:p>
        </w:tc>
        <w:tc>
          <w:tcPr>
            <w:tcW w:w="317" w:type="pct"/>
            <w:tcBorders>
              <w:top w:val="single" w:sz="4" w:space="0" w:color="auto"/>
              <w:left w:val="single" w:sz="4" w:space="0" w:color="auto"/>
              <w:bottom w:val="single" w:sz="4" w:space="0" w:color="auto"/>
              <w:right w:val="single" w:sz="4" w:space="0" w:color="auto"/>
            </w:tcBorders>
          </w:tcPr>
          <w:p w:rsidR="00FF2EC0" w:rsidRPr="001D50E3" w:rsidRDefault="00FF2EC0" w:rsidP="00754C28">
            <w:pPr>
              <w:spacing w:after="60"/>
              <w:jc w:val="both"/>
              <w:rPr>
                <w:rFonts w:ascii="Arial" w:eastAsia="Calibri" w:hAnsi="Arial" w:cs="Arial"/>
                <w:i/>
                <w:noProof/>
                <w:sz w:val="16"/>
                <w:szCs w:val="16"/>
              </w:rPr>
            </w:pPr>
          </w:p>
        </w:tc>
        <w:tc>
          <w:tcPr>
            <w:tcW w:w="318" w:type="pct"/>
            <w:tcBorders>
              <w:top w:val="single" w:sz="4" w:space="0" w:color="auto"/>
              <w:left w:val="single" w:sz="4" w:space="0" w:color="auto"/>
              <w:bottom w:val="single" w:sz="4" w:space="0" w:color="auto"/>
              <w:right w:val="single" w:sz="4" w:space="0" w:color="auto"/>
            </w:tcBorders>
          </w:tcPr>
          <w:p w:rsidR="00FF2EC0" w:rsidRPr="001D50E3" w:rsidRDefault="00FF2EC0" w:rsidP="00754C28">
            <w:pPr>
              <w:spacing w:after="60"/>
              <w:jc w:val="both"/>
              <w:rPr>
                <w:rFonts w:ascii="Arial" w:eastAsia="Calibri" w:hAnsi="Arial" w:cs="Arial"/>
                <w:i/>
                <w:noProof/>
                <w:sz w:val="16"/>
                <w:szCs w:val="16"/>
              </w:rPr>
            </w:pPr>
          </w:p>
        </w:tc>
        <w:tc>
          <w:tcPr>
            <w:tcW w:w="410" w:type="pct"/>
            <w:gridSpan w:val="2"/>
            <w:tcBorders>
              <w:top w:val="single" w:sz="4" w:space="0" w:color="auto"/>
              <w:left w:val="single" w:sz="4" w:space="0" w:color="auto"/>
              <w:bottom w:val="single" w:sz="4" w:space="0" w:color="auto"/>
              <w:right w:val="single" w:sz="4" w:space="0" w:color="auto"/>
            </w:tcBorders>
          </w:tcPr>
          <w:p w:rsidR="00FF2EC0" w:rsidRPr="001D50E3" w:rsidRDefault="00FF2EC0" w:rsidP="00754C28">
            <w:pPr>
              <w:spacing w:after="60"/>
              <w:jc w:val="both"/>
              <w:rPr>
                <w:rFonts w:ascii="Arial" w:eastAsia="Calibri" w:hAnsi="Arial" w:cs="Arial"/>
                <w:i/>
                <w:noProof/>
                <w:sz w:val="16"/>
                <w:szCs w:val="16"/>
              </w:rPr>
            </w:pPr>
          </w:p>
        </w:tc>
        <w:tc>
          <w:tcPr>
            <w:tcW w:w="412" w:type="pct"/>
            <w:gridSpan w:val="2"/>
            <w:tcBorders>
              <w:top w:val="single" w:sz="4" w:space="0" w:color="auto"/>
              <w:left w:val="single" w:sz="4" w:space="0" w:color="auto"/>
              <w:bottom w:val="single" w:sz="4" w:space="0" w:color="auto"/>
              <w:right w:val="single" w:sz="4" w:space="0" w:color="auto"/>
            </w:tcBorders>
          </w:tcPr>
          <w:p w:rsidR="00FF2EC0" w:rsidRPr="001D50E3" w:rsidRDefault="00FF2EC0" w:rsidP="00754C28">
            <w:pPr>
              <w:spacing w:after="60"/>
              <w:jc w:val="both"/>
              <w:rPr>
                <w:rFonts w:ascii="Arial" w:eastAsia="Calibri" w:hAnsi="Arial" w:cs="Arial"/>
                <w:i/>
                <w:noProof/>
                <w:sz w:val="16"/>
                <w:szCs w:val="16"/>
              </w:rPr>
            </w:pPr>
          </w:p>
        </w:tc>
      </w:tr>
      <w:tr w:rsidR="00FF2EC0" w:rsidRPr="001D50E3" w:rsidTr="001D50E3">
        <w:trPr>
          <w:gridBefore w:val="1"/>
          <w:wBefore w:w="471" w:type="pct"/>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F2EC0" w:rsidRPr="001D50E3" w:rsidRDefault="00FF2EC0" w:rsidP="00754C28">
            <w:pPr>
              <w:jc w:val="both"/>
              <w:rPr>
                <w:rFonts w:ascii="Arial" w:eastAsia="Calibri" w:hAnsi="Arial" w:cs="Arial"/>
                <w:i/>
                <w:noProof/>
                <w:sz w:val="16"/>
                <w:szCs w:val="16"/>
              </w:rPr>
            </w:pPr>
          </w:p>
        </w:tc>
        <w:tc>
          <w:tcPr>
            <w:tcW w:w="248" w:type="pct"/>
            <w:tcBorders>
              <w:top w:val="single" w:sz="4" w:space="0" w:color="auto"/>
              <w:left w:val="single" w:sz="4" w:space="0" w:color="auto"/>
              <w:bottom w:val="single" w:sz="4" w:space="0" w:color="auto"/>
              <w:right w:val="single" w:sz="4" w:space="0" w:color="auto"/>
            </w:tcBorders>
            <w:hideMark/>
          </w:tcPr>
          <w:p w:rsidR="00FF2EC0" w:rsidRPr="001D50E3" w:rsidRDefault="00FF2EC0" w:rsidP="00754C28">
            <w:pPr>
              <w:spacing w:after="160"/>
              <w:jc w:val="both"/>
              <w:rPr>
                <w:rFonts w:ascii="Arial" w:eastAsia="Calibri" w:hAnsi="Arial" w:cs="Arial"/>
                <w:i/>
                <w:noProof/>
                <w:sz w:val="16"/>
                <w:szCs w:val="20"/>
                <w:lang w:val="sq-AL"/>
              </w:rPr>
            </w:pPr>
            <w:r w:rsidRPr="001D50E3">
              <w:rPr>
                <w:rFonts w:ascii="Arial" w:eastAsia="Calibri" w:hAnsi="Arial" w:cs="Arial"/>
                <w:i/>
                <w:noProof/>
                <w:sz w:val="16"/>
                <w:szCs w:val="20"/>
                <w:lang w:val="sq-AL"/>
              </w:rPr>
              <w:t xml:space="preserve">Intereg fondovi </w:t>
            </w:r>
          </w:p>
        </w:tc>
        <w:tc>
          <w:tcPr>
            <w:tcW w:w="592" w:type="pct"/>
            <w:tcBorders>
              <w:top w:val="single" w:sz="4" w:space="0" w:color="auto"/>
              <w:left w:val="single" w:sz="4" w:space="0" w:color="auto"/>
              <w:bottom w:val="single" w:sz="4" w:space="0" w:color="auto"/>
              <w:right w:val="single" w:sz="4" w:space="0" w:color="auto"/>
            </w:tcBorders>
          </w:tcPr>
          <w:p w:rsidR="00FF2EC0" w:rsidRPr="001D50E3" w:rsidRDefault="00FF2EC0" w:rsidP="00754C28">
            <w:pPr>
              <w:spacing w:after="60"/>
              <w:jc w:val="both"/>
              <w:rPr>
                <w:rFonts w:ascii="Arial" w:eastAsia="Calibri" w:hAnsi="Arial" w:cs="Arial"/>
                <w:i/>
                <w:noProof/>
                <w:sz w:val="16"/>
                <w:szCs w:val="16"/>
              </w:rPr>
            </w:pPr>
          </w:p>
        </w:tc>
        <w:tc>
          <w:tcPr>
            <w:tcW w:w="410" w:type="pct"/>
            <w:tcBorders>
              <w:top w:val="single" w:sz="4" w:space="0" w:color="auto"/>
              <w:left w:val="single" w:sz="4" w:space="0" w:color="auto"/>
              <w:bottom w:val="single" w:sz="4" w:space="0" w:color="auto"/>
              <w:right w:val="single" w:sz="4" w:space="0" w:color="auto"/>
            </w:tcBorders>
          </w:tcPr>
          <w:p w:rsidR="00FF2EC0" w:rsidRPr="001D50E3" w:rsidRDefault="00FF2EC0" w:rsidP="00754C28">
            <w:pPr>
              <w:spacing w:after="60"/>
              <w:jc w:val="both"/>
              <w:rPr>
                <w:rFonts w:ascii="Arial" w:eastAsia="Calibri" w:hAnsi="Arial" w:cs="Arial"/>
                <w:i/>
                <w:noProof/>
                <w:sz w:val="16"/>
                <w:szCs w:val="16"/>
              </w:rPr>
            </w:pPr>
          </w:p>
        </w:tc>
        <w:tc>
          <w:tcPr>
            <w:tcW w:w="410" w:type="pct"/>
            <w:tcBorders>
              <w:top w:val="single" w:sz="4" w:space="0" w:color="auto"/>
              <w:left w:val="single" w:sz="4" w:space="0" w:color="auto"/>
              <w:bottom w:val="single" w:sz="4" w:space="0" w:color="auto"/>
              <w:right w:val="single" w:sz="4" w:space="0" w:color="auto"/>
            </w:tcBorders>
          </w:tcPr>
          <w:p w:rsidR="00FF2EC0" w:rsidRPr="001D50E3" w:rsidRDefault="00FF2EC0" w:rsidP="00754C28">
            <w:pPr>
              <w:spacing w:after="60"/>
              <w:jc w:val="both"/>
              <w:rPr>
                <w:rFonts w:ascii="Arial" w:eastAsia="Calibri" w:hAnsi="Arial" w:cs="Arial"/>
                <w:i/>
                <w:noProof/>
                <w:sz w:val="16"/>
                <w:szCs w:val="16"/>
              </w:rPr>
            </w:pPr>
          </w:p>
        </w:tc>
        <w:tc>
          <w:tcPr>
            <w:tcW w:w="364" w:type="pct"/>
            <w:tcBorders>
              <w:top w:val="single" w:sz="4" w:space="0" w:color="auto"/>
              <w:left w:val="single" w:sz="4" w:space="0" w:color="auto"/>
              <w:bottom w:val="single" w:sz="4" w:space="0" w:color="auto"/>
              <w:right w:val="single" w:sz="4" w:space="0" w:color="auto"/>
            </w:tcBorders>
          </w:tcPr>
          <w:p w:rsidR="00FF2EC0" w:rsidRPr="001D50E3" w:rsidRDefault="00FF2EC0" w:rsidP="00754C28">
            <w:pPr>
              <w:spacing w:after="60"/>
              <w:jc w:val="both"/>
              <w:rPr>
                <w:rFonts w:ascii="Arial" w:eastAsia="Calibri" w:hAnsi="Arial" w:cs="Arial"/>
                <w:i/>
                <w:noProof/>
                <w:sz w:val="16"/>
                <w:szCs w:val="16"/>
              </w:rPr>
            </w:pPr>
          </w:p>
        </w:tc>
        <w:tc>
          <w:tcPr>
            <w:tcW w:w="410" w:type="pct"/>
            <w:tcBorders>
              <w:top w:val="single" w:sz="4" w:space="0" w:color="auto"/>
              <w:left w:val="single" w:sz="4" w:space="0" w:color="auto"/>
              <w:bottom w:val="single" w:sz="4" w:space="0" w:color="auto"/>
              <w:right w:val="single" w:sz="4" w:space="0" w:color="auto"/>
            </w:tcBorders>
          </w:tcPr>
          <w:p w:rsidR="00FF2EC0" w:rsidRPr="001D50E3" w:rsidRDefault="00FF2EC0" w:rsidP="00754C28">
            <w:pPr>
              <w:spacing w:after="60"/>
              <w:jc w:val="both"/>
              <w:rPr>
                <w:rFonts w:ascii="Arial" w:eastAsia="Calibri" w:hAnsi="Arial" w:cs="Arial"/>
                <w:i/>
                <w:noProof/>
                <w:sz w:val="16"/>
                <w:szCs w:val="16"/>
              </w:rPr>
            </w:pPr>
          </w:p>
        </w:tc>
        <w:tc>
          <w:tcPr>
            <w:tcW w:w="317" w:type="pct"/>
            <w:tcBorders>
              <w:top w:val="single" w:sz="4" w:space="0" w:color="auto"/>
              <w:left w:val="single" w:sz="4" w:space="0" w:color="auto"/>
              <w:bottom w:val="single" w:sz="4" w:space="0" w:color="auto"/>
              <w:right w:val="single" w:sz="4" w:space="0" w:color="auto"/>
            </w:tcBorders>
          </w:tcPr>
          <w:p w:rsidR="00FF2EC0" w:rsidRPr="001D50E3" w:rsidRDefault="00FF2EC0" w:rsidP="00754C28">
            <w:pPr>
              <w:spacing w:after="60"/>
              <w:jc w:val="both"/>
              <w:rPr>
                <w:rFonts w:ascii="Arial" w:eastAsia="Calibri" w:hAnsi="Arial" w:cs="Arial"/>
                <w:i/>
                <w:noProof/>
                <w:sz w:val="16"/>
                <w:szCs w:val="16"/>
              </w:rPr>
            </w:pPr>
          </w:p>
        </w:tc>
        <w:tc>
          <w:tcPr>
            <w:tcW w:w="318" w:type="pct"/>
            <w:tcBorders>
              <w:top w:val="single" w:sz="4" w:space="0" w:color="auto"/>
              <w:left w:val="single" w:sz="4" w:space="0" w:color="auto"/>
              <w:bottom w:val="single" w:sz="4" w:space="0" w:color="auto"/>
              <w:right w:val="single" w:sz="4" w:space="0" w:color="auto"/>
            </w:tcBorders>
          </w:tcPr>
          <w:p w:rsidR="00FF2EC0" w:rsidRPr="001D50E3" w:rsidRDefault="00FF2EC0" w:rsidP="00754C28">
            <w:pPr>
              <w:spacing w:after="60"/>
              <w:jc w:val="both"/>
              <w:rPr>
                <w:rFonts w:ascii="Arial" w:eastAsia="Calibri" w:hAnsi="Arial" w:cs="Arial"/>
                <w:i/>
                <w:noProof/>
                <w:sz w:val="16"/>
                <w:szCs w:val="16"/>
              </w:rPr>
            </w:pPr>
          </w:p>
        </w:tc>
        <w:tc>
          <w:tcPr>
            <w:tcW w:w="410" w:type="pct"/>
            <w:gridSpan w:val="2"/>
            <w:tcBorders>
              <w:top w:val="single" w:sz="4" w:space="0" w:color="auto"/>
              <w:left w:val="single" w:sz="4" w:space="0" w:color="auto"/>
              <w:bottom w:val="single" w:sz="4" w:space="0" w:color="auto"/>
              <w:right w:val="single" w:sz="4" w:space="0" w:color="auto"/>
            </w:tcBorders>
          </w:tcPr>
          <w:p w:rsidR="00FF2EC0" w:rsidRPr="001D50E3" w:rsidRDefault="00FF2EC0" w:rsidP="00754C28">
            <w:pPr>
              <w:spacing w:after="60"/>
              <w:jc w:val="both"/>
              <w:rPr>
                <w:rFonts w:ascii="Arial" w:eastAsia="Calibri" w:hAnsi="Arial" w:cs="Arial"/>
                <w:i/>
                <w:noProof/>
                <w:sz w:val="16"/>
                <w:szCs w:val="16"/>
              </w:rPr>
            </w:pPr>
          </w:p>
        </w:tc>
        <w:tc>
          <w:tcPr>
            <w:tcW w:w="412" w:type="pct"/>
            <w:gridSpan w:val="2"/>
            <w:tcBorders>
              <w:top w:val="single" w:sz="4" w:space="0" w:color="auto"/>
              <w:left w:val="single" w:sz="4" w:space="0" w:color="auto"/>
              <w:bottom w:val="single" w:sz="4" w:space="0" w:color="auto"/>
              <w:right w:val="single" w:sz="4" w:space="0" w:color="auto"/>
            </w:tcBorders>
          </w:tcPr>
          <w:p w:rsidR="00FF2EC0" w:rsidRPr="001D50E3" w:rsidRDefault="00FF2EC0" w:rsidP="00754C28">
            <w:pPr>
              <w:spacing w:after="60"/>
              <w:jc w:val="both"/>
              <w:rPr>
                <w:rFonts w:ascii="Arial" w:eastAsia="Calibri" w:hAnsi="Arial" w:cs="Arial"/>
                <w:i/>
                <w:noProof/>
                <w:sz w:val="16"/>
                <w:szCs w:val="16"/>
              </w:rPr>
            </w:pPr>
          </w:p>
        </w:tc>
      </w:tr>
      <w:tr w:rsidR="00FF2EC0" w:rsidRPr="001D50E3" w:rsidTr="001D50E3">
        <w:tblPrEx>
          <w:jc w:val="left"/>
        </w:tblPrEx>
        <w:trPr>
          <w:gridAfter w:val="1"/>
          <w:wAfter w:w="200" w:type="pct"/>
        </w:trPr>
        <w:tc>
          <w:tcPr>
            <w:tcW w:w="857" w:type="pct"/>
            <w:gridSpan w:val="2"/>
            <w:tcBorders>
              <w:top w:val="single" w:sz="4" w:space="0" w:color="auto"/>
              <w:left w:val="single" w:sz="4" w:space="0" w:color="auto"/>
              <w:bottom w:val="single" w:sz="4" w:space="0" w:color="auto"/>
              <w:right w:val="single" w:sz="4" w:space="0" w:color="auto"/>
            </w:tcBorders>
            <w:hideMark/>
          </w:tcPr>
          <w:p w:rsidR="00FF2EC0" w:rsidRPr="001D50E3" w:rsidRDefault="00FF2EC0" w:rsidP="00754C28">
            <w:pPr>
              <w:spacing w:after="60"/>
              <w:jc w:val="both"/>
              <w:rPr>
                <w:rFonts w:ascii="Arial" w:eastAsia="Calibri" w:hAnsi="Arial" w:cs="Arial"/>
                <w:i/>
                <w:noProof/>
                <w:sz w:val="16"/>
                <w:szCs w:val="16"/>
              </w:rPr>
            </w:pPr>
            <w:r w:rsidRPr="001D50E3">
              <w:rPr>
                <w:rFonts w:ascii="Arial" w:eastAsia="Calibri" w:hAnsi="Arial" w:cs="Arial"/>
                <w:b/>
                <w:i/>
                <w:noProof/>
                <w:sz w:val="16"/>
                <w:szCs w:val="16"/>
                <w:lang w:val="sq-AL"/>
              </w:rPr>
              <w:t xml:space="preserve">Prioritet </w:t>
            </w:r>
            <w:r w:rsidRPr="001D50E3">
              <w:rPr>
                <w:rFonts w:ascii="Arial" w:eastAsia="Calibri" w:hAnsi="Arial" w:cs="Arial"/>
                <w:b/>
                <w:i/>
                <w:noProof/>
                <w:sz w:val="16"/>
                <w:szCs w:val="16"/>
              </w:rPr>
              <w:t>3</w:t>
            </w:r>
          </w:p>
        </w:tc>
        <w:tc>
          <w:tcPr>
            <w:tcW w:w="501" w:type="pct"/>
            <w:gridSpan w:val="2"/>
            <w:tcBorders>
              <w:top w:val="single" w:sz="4" w:space="0" w:color="auto"/>
              <w:left w:val="single" w:sz="4" w:space="0" w:color="auto"/>
              <w:bottom w:val="single" w:sz="4" w:space="0" w:color="auto"/>
              <w:right w:val="single" w:sz="4" w:space="0" w:color="auto"/>
            </w:tcBorders>
            <w:hideMark/>
          </w:tcPr>
          <w:p w:rsidR="00FF2EC0" w:rsidRPr="001D50E3" w:rsidRDefault="00FF2EC0" w:rsidP="00754C28">
            <w:pPr>
              <w:spacing w:after="160"/>
              <w:jc w:val="both"/>
              <w:rPr>
                <w:rFonts w:ascii="Arial" w:eastAsia="Calibri" w:hAnsi="Arial" w:cs="Arial"/>
                <w:i/>
                <w:noProof/>
                <w:sz w:val="16"/>
                <w:szCs w:val="16"/>
              </w:rPr>
            </w:pPr>
            <w:r w:rsidRPr="001D50E3">
              <w:rPr>
                <w:rFonts w:ascii="Arial" w:eastAsia="Calibri" w:hAnsi="Arial" w:cs="Arial"/>
                <w:i/>
                <w:noProof/>
                <w:sz w:val="16"/>
                <w:szCs w:val="16"/>
                <w:lang w:val="mk-MK"/>
              </w:rPr>
              <w:t>ЕРФР</w:t>
            </w:r>
          </w:p>
        </w:tc>
        <w:tc>
          <w:tcPr>
            <w:tcW w:w="592" w:type="pct"/>
            <w:tcBorders>
              <w:top w:val="single" w:sz="4" w:space="0" w:color="auto"/>
              <w:left w:val="single" w:sz="4" w:space="0" w:color="auto"/>
              <w:bottom w:val="single" w:sz="4" w:space="0" w:color="auto"/>
              <w:right w:val="single" w:sz="4" w:space="0" w:color="auto"/>
            </w:tcBorders>
            <w:hideMark/>
          </w:tcPr>
          <w:p w:rsidR="00FF2EC0" w:rsidRPr="001D50E3" w:rsidRDefault="00FF2EC0" w:rsidP="00754C28">
            <w:pPr>
              <w:spacing w:after="60"/>
              <w:jc w:val="both"/>
              <w:rPr>
                <w:rFonts w:ascii="Arial" w:eastAsia="Calibri" w:hAnsi="Arial" w:cs="Arial"/>
                <w:i/>
                <w:noProof/>
                <w:sz w:val="16"/>
                <w:szCs w:val="16"/>
              </w:rPr>
            </w:pPr>
            <w:r w:rsidRPr="001D50E3">
              <w:rPr>
                <w:rFonts w:ascii="Arial" w:eastAsia="Calibri" w:hAnsi="Arial" w:cs="Arial"/>
                <w:i/>
                <w:noProof/>
                <w:sz w:val="16"/>
                <w:szCs w:val="16"/>
                <w:lang w:val="sq-AL"/>
              </w:rPr>
              <w:t>Shpenzimet te pergjtihshme te pranuara</w:t>
            </w:r>
          </w:p>
        </w:tc>
        <w:tc>
          <w:tcPr>
            <w:tcW w:w="410" w:type="pct"/>
            <w:tcBorders>
              <w:top w:val="single" w:sz="4" w:space="0" w:color="auto"/>
              <w:left w:val="single" w:sz="4" w:space="0" w:color="auto"/>
              <w:bottom w:val="single" w:sz="4" w:space="0" w:color="auto"/>
              <w:right w:val="single" w:sz="4" w:space="0" w:color="auto"/>
            </w:tcBorders>
            <w:hideMark/>
          </w:tcPr>
          <w:p w:rsidR="00FF2EC0" w:rsidRPr="001D50E3" w:rsidRDefault="00FF2EC0" w:rsidP="00754C28">
            <w:pPr>
              <w:spacing w:after="60"/>
              <w:jc w:val="both"/>
              <w:rPr>
                <w:rFonts w:ascii="Arial" w:eastAsia="Calibri" w:hAnsi="Arial" w:cs="Arial"/>
                <w:i/>
                <w:noProof/>
                <w:sz w:val="16"/>
                <w:szCs w:val="16"/>
              </w:rPr>
            </w:pPr>
            <w:r w:rsidRPr="001D50E3">
              <w:rPr>
                <w:rFonts w:ascii="Arial" w:eastAsia="Calibri" w:hAnsi="Arial" w:cs="Arial"/>
                <w:i/>
                <w:noProof/>
                <w:sz w:val="16"/>
                <w:szCs w:val="16"/>
              </w:rPr>
              <w:t>6 458 424,50</w:t>
            </w:r>
          </w:p>
        </w:tc>
        <w:tc>
          <w:tcPr>
            <w:tcW w:w="410" w:type="pct"/>
            <w:tcBorders>
              <w:top w:val="single" w:sz="4" w:space="0" w:color="auto"/>
              <w:left w:val="single" w:sz="4" w:space="0" w:color="auto"/>
              <w:bottom w:val="single" w:sz="4" w:space="0" w:color="auto"/>
              <w:right w:val="single" w:sz="4" w:space="0" w:color="auto"/>
            </w:tcBorders>
            <w:hideMark/>
          </w:tcPr>
          <w:p w:rsidR="00FF2EC0" w:rsidRPr="001D50E3" w:rsidRDefault="00FF2EC0" w:rsidP="00754C28">
            <w:pPr>
              <w:spacing w:after="60"/>
              <w:jc w:val="both"/>
              <w:rPr>
                <w:rFonts w:ascii="Arial" w:eastAsia="Calibri" w:hAnsi="Arial" w:cs="Arial"/>
                <w:i/>
                <w:noProof/>
                <w:sz w:val="16"/>
                <w:szCs w:val="16"/>
              </w:rPr>
            </w:pPr>
            <w:r w:rsidRPr="001D50E3">
              <w:rPr>
                <w:rFonts w:ascii="Arial" w:eastAsia="Calibri" w:hAnsi="Arial" w:cs="Arial"/>
                <w:i/>
                <w:noProof/>
                <w:sz w:val="16"/>
                <w:szCs w:val="16"/>
              </w:rPr>
              <w:t>5 871 295,00</w:t>
            </w:r>
          </w:p>
        </w:tc>
        <w:tc>
          <w:tcPr>
            <w:tcW w:w="364" w:type="pct"/>
            <w:tcBorders>
              <w:top w:val="single" w:sz="4" w:space="0" w:color="auto"/>
              <w:left w:val="single" w:sz="4" w:space="0" w:color="auto"/>
              <w:bottom w:val="single" w:sz="4" w:space="0" w:color="auto"/>
              <w:right w:val="single" w:sz="4" w:space="0" w:color="auto"/>
            </w:tcBorders>
            <w:hideMark/>
          </w:tcPr>
          <w:p w:rsidR="00FF2EC0" w:rsidRPr="001D50E3" w:rsidRDefault="00FF2EC0" w:rsidP="00754C28">
            <w:pPr>
              <w:spacing w:after="60"/>
              <w:jc w:val="both"/>
              <w:rPr>
                <w:rFonts w:ascii="Arial" w:eastAsia="Calibri" w:hAnsi="Arial" w:cs="Arial"/>
                <w:i/>
                <w:noProof/>
                <w:sz w:val="16"/>
                <w:szCs w:val="16"/>
              </w:rPr>
            </w:pPr>
            <w:r w:rsidRPr="001D50E3">
              <w:rPr>
                <w:rFonts w:ascii="Arial" w:eastAsia="Calibri" w:hAnsi="Arial" w:cs="Arial"/>
                <w:i/>
                <w:noProof/>
                <w:sz w:val="16"/>
                <w:szCs w:val="16"/>
              </w:rPr>
              <w:t>587 129,50</w:t>
            </w:r>
          </w:p>
        </w:tc>
        <w:tc>
          <w:tcPr>
            <w:tcW w:w="410" w:type="pct"/>
            <w:tcBorders>
              <w:top w:val="single" w:sz="4" w:space="0" w:color="auto"/>
              <w:left w:val="single" w:sz="4" w:space="0" w:color="auto"/>
              <w:bottom w:val="single" w:sz="4" w:space="0" w:color="auto"/>
              <w:right w:val="single" w:sz="4" w:space="0" w:color="auto"/>
            </w:tcBorders>
            <w:hideMark/>
          </w:tcPr>
          <w:p w:rsidR="00FF2EC0" w:rsidRPr="001D50E3" w:rsidRDefault="00FF2EC0" w:rsidP="00754C28">
            <w:pPr>
              <w:spacing w:after="60"/>
              <w:jc w:val="both"/>
              <w:rPr>
                <w:rFonts w:ascii="Arial" w:eastAsia="Calibri" w:hAnsi="Arial" w:cs="Arial"/>
                <w:i/>
                <w:noProof/>
                <w:sz w:val="16"/>
                <w:szCs w:val="16"/>
              </w:rPr>
            </w:pPr>
            <w:r w:rsidRPr="001D50E3">
              <w:rPr>
                <w:rFonts w:ascii="Arial" w:eastAsia="Calibri" w:hAnsi="Arial" w:cs="Arial"/>
                <w:i/>
                <w:noProof/>
                <w:sz w:val="16"/>
                <w:szCs w:val="16"/>
              </w:rPr>
              <w:t>1 139 721,98</w:t>
            </w:r>
          </w:p>
        </w:tc>
        <w:tc>
          <w:tcPr>
            <w:tcW w:w="317" w:type="pct"/>
            <w:tcBorders>
              <w:top w:val="single" w:sz="4" w:space="0" w:color="auto"/>
              <w:left w:val="single" w:sz="4" w:space="0" w:color="auto"/>
              <w:bottom w:val="single" w:sz="4" w:space="0" w:color="auto"/>
              <w:right w:val="single" w:sz="4" w:space="0" w:color="auto"/>
            </w:tcBorders>
            <w:hideMark/>
          </w:tcPr>
          <w:p w:rsidR="00FF2EC0" w:rsidRPr="001D50E3" w:rsidRDefault="00FF2EC0" w:rsidP="00754C28">
            <w:pPr>
              <w:spacing w:after="60"/>
              <w:jc w:val="both"/>
              <w:rPr>
                <w:rFonts w:ascii="Arial" w:eastAsia="Calibri" w:hAnsi="Arial" w:cs="Arial"/>
                <w:i/>
                <w:noProof/>
                <w:sz w:val="16"/>
                <w:szCs w:val="16"/>
              </w:rPr>
            </w:pPr>
            <w:r w:rsidRPr="001D50E3">
              <w:rPr>
                <w:rFonts w:ascii="Arial" w:eastAsia="Calibri" w:hAnsi="Arial" w:cs="Arial"/>
                <w:i/>
                <w:noProof/>
                <w:sz w:val="16"/>
                <w:szCs w:val="16"/>
              </w:rPr>
              <w:t>569 860,99</w:t>
            </w:r>
          </w:p>
        </w:tc>
        <w:tc>
          <w:tcPr>
            <w:tcW w:w="318" w:type="pct"/>
            <w:tcBorders>
              <w:top w:val="single" w:sz="4" w:space="0" w:color="auto"/>
              <w:left w:val="single" w:sz="4" w:space="0" w:color="auto"/>
              <w:bottom w:val="single" w:sz="4" w:space="0" w:color="auto"/>
              <w:right w:val="single" w:sz="4" w:space="0" w:color="auto"/>
            </w:tcBorders>
            <w:hideMark/>
          </w:tcPr>
          <w:p w:rsidR="00FF2EC0" w:rsidRPr="001D50E3" w:rsidRDefault="00FF2EC0" w:rsidP="00754C28">
            <w:pPr>
              <w:spacing w:after="60"/>
              <w:jc w:val="both"/>
              <w:rPr>
                <w:rFonts w:ascii="Arial" w:eastAsia="Calibri" w:hAnsi="Arial" w:cs="Arial"/>
                <w:i/>
                <w:noProof/>
                <w:sz w:val="16"/>
                <w:szCs w:val="16"/>
              </w:rPr>
            </w:pPr>
            <w:r w:rsidRPr="001D50E3">
              <w:rPr>
                <w:rFonts w:ascii="Arial" w:eastAsia="Calibri" w:hAnsi="Arial" w:cs="Arial"/>
                <w:i/>
                <w:noProof/>
                <w:sz w:val="16"/>
                <w:szCs w:val="16"/>
              </w:rPr>
              <w:t>569 860,99</w:t>
            </w:r>
          </w:p>
        </w:tc>
        <w:tc>
          <w:tcPr>
            <w:tcW w:w="308" w:type="pct"/>
            <w:tcBorders>
              <w:top w:val="single" w:sz="4" w:space="0" w:color="auto"/>
              <w:left w:val="single" w:sz="4" w:space="0" w:color="auto"/>
              <w:bottom w:val="single" w:sz="4" w:space="0" w:color="auto"/>
              <w:right w:val="single" w:sz="4" w:space="0" w:color="auto"/>
            </w:tcBorders>
            <w:hideMark/>
          </w:tcPr>
          <w:p w:rsidR="00FF2EC0" w:rsidRPr="001D50E3" w:rsidRDefault="00FF2EC0" w:rsidP="00754C28">
            <w:pPr>
              <w:spacing w:after="60"/>
              <w:jc w:val="both"/>
              <w:rPr>
                <w:rFonts w:ascii="Arial" w:eastAsia="Calibri" w:hAnsi="Arial" w:cs="Arial"/>
                <w:i/>
                <w:noProof/>
                <w:sz w:val="16"/>
                <w:szCs w:val="16"/>
              </w:rPr>
            </w:pPr>
            <w:r w:rsidRPr="001D50E3">
              <w:rPr>
                <w:rFonts w:ascii="Arial" w:eastAsia="Calibri" w:hAnsi="Arial" w:cs="Arial"/>
                <w:i/>
                <w:noProof/>
                <w:sz w:val="16"/>
                <w:szCs w:val="16"/>
              </w:rPr>
              <w:t>7 598 146,48</w:t>
            </w:r>
          </w:p>
        </w:tc>
        <w:tc>
          <w:tcPr>
            <w:tcW w:w="314" w:type="pct"/>
            <w:gridSpan w:val="2"/>
            <w:tcBorders>
              <w:top w:val="single" w:sz="4" w:space="0" w:color="auto"/>
              <w:left w:val="single" w:sz="4" w:space="0" w:color="auto"/>
              <w:bottom w:val="single" w:sz="4" w:space="0" w:color="auto"/>
              <w:right w:val="single" w:sz="4" w:space="0" w:color="auto"/>
            </w:tcBorders>
            <w:hideMark/>
          </w:tcPr>
          <w:p w:rsidR="00FF2EC0" w:rsidRPr="001D50E3" w:rsidRDefault="00FF2EC0" w:rsidP="00754C28">
            <w:pPr>
              <w:spacing w:after="60"/>
              <w:jc w:val="both"/>
              <w:rPr>
                <w:rFonts w:ascii="Arial" w:eastAsia="Calibri" w:hAnsi="Arial" w:cs="Arial"/>
                <w:i/>
                <w:noProof/>
                <w:sz w:val="16"/>
                <w:szCs w:val="16"/>
              </w:rPr>
            </w:pPr>
            <w:r w:rsidRPr="001D50E3">
              <w:rPr>
                <w:rFonts w:ascii="Arial" w:eastAsia="Calibri" w:hAnsi="Arial" w:cs="Arial"/>
                <w:i/>
                <w:noProof/>
                <w:sz w:val="16"/>
                <w:szCs w:val="16"/>
              </w:rPr>
              <w:t>0,85</w:t>
            </w:r>
          </w:p>
        </w:tc>
      </w:tr>
      <w:tr w:rsidR="00FF2EC0" w:rsidRPr="001D50E3" w:rsidTr="001D50E3">
        <w:tblPrEx>
          <w:jc w:val="left"/>
        </w:tblPrEx>
        <w:trPr>
          <w:gridAfter w:val="1"/>
          <w:wAfter w:w="200" w:type="pct"/>
          <w:trHeight w:val="447"/>
        </w:trPr>
        <w:tc>
          <w:tcPr>
            <w:tcW w:w="857" w:type="pct"/>
            <w:gridSpan w:val="2"/>
            <w:vMerge w:val="restart"/>
            <w:tcBorders>
              <w:top w:val="single" w:sz="4" w:space="0" w:color="auto"/>
              <w:left w:val="single" w:sz="4" w:space="0" w:color="auto"/>
              <w:bottom w:val="single" w:sz="4" w:space="0" w:color="auto"/>
              <w:right w:val="single" w:sz="4" w:space="0" w:color="auto"/>
            </w:tcBorders>
          </w:tcPr>
          <w:p w:rsidR="00FF2EC0" w:rsidRPr="001D50E3" w:rsidRDefault="00FF2EC0" w:rsidP="001D50E3">
            <w:pPr>
              <w:spacing w:after="60"/>
              <w:ind w:right="663"/>
              <w:jc w:val="both"/>
              <w:rPr>
                <w:rFonts w:ascii="Arial" w:eastAsia="Calibri" w:hAnsi="Arial" w:cs="Arial"/>
                <w:i/>
                <w:noProof/>
                <w:sz w:val="16"/>
                <w:szCs w:val="16"/>
              </w:rPr>
            </w:pPr>
          </w:p>
        </w:tc>
        <w:tc>
          <w:tcPr>
            <w:tcW w:w="501" w:type="pct"/>
            <w:gridSpan w:val="2"/>
            <w:tcBorders>
              <w:top w:val="single" w:sz="4" w:space="0" w:color="auto"/>
              <w:left w:val="single" w:sz="4" w:space="0" w:color="auto"/>
              <w:bottom w:val="single" w:sz="4" w:space="0" w:color="auto"/>
              <w:right w:val="single" w:sz="4" w:space="0" w:color="auto"/>
            </w:tcBorders>
            <w:hideMark/>
          </w:tcPr>
          <w:p w:rsidR="00FF2EC0" w:rsidRPr="001D50E3" w:rsidRDefault="00FF2EC0" w:rsidP="00754C28">
            <w:pPr>
              <w:spacing w:after="160"/>
              <w:jc w:val="both"/>
              <w:rPr>
                <w:rFonts w:ascii="Arial" w:eastAsia="Calibri" w:hAnsi="Arial" w:cs="Arial"/>
                <w:i/>
                <w:noProof/>
                <w:sz w:val="16"/>
                <w:szCs w:val="16"/>
              </w:rPr>
            </w:pPr>
            <w:r w:rsidRPr="001D50E3">
              <w:rPr>
                <w:rFonts w:ascii="Arial" w:eastAsia="Calibri" w:hAnsi="Arial" w:cs="Arial"/>
                <w:noProof/>
                <w:sz w:val="16"/>
                <w:szCs w:val="16"/>
                <w:lang w:val="sq-AL"/>
              </w:rPr>
              <w:t>IPA</w:t>
            </w:r>
            <w:r w:rsidRPr="001D50E3">
              <w:rPr>
                <w:rFonts w:ascii="Arial" w:eastAsia="Calibri" w:hAnsi="Arial" w:cs="Arial"/>
                <w:noProof/>
                <w:sz w:val="16"/>
                <w:szCs w:val="16"/>
              </w:rPr>
              <w:t> </w:t>
            </w:r>
            <w:r w:rsidRPr="001D50E3">
              <w:rPr>
                <w:rFonts w:ascii="Arial" w:eastAsia="Calibri" w:hAnsi="Arial" w:cs="Arial"/>
                <w:i/>
                <w:noProof/>
                <w:sz w:val="16"/>
                <w:szCs w:val="16"/>
              </w:rPr>
              <w:t>III BNK</w:t>
            </w:r>
          </w:p>
        </w:tc>
        <w:tc>
          <w:tcPr>
            <w:tcW w:w="592" w:type="pct"/>
            <w:tcBorders>
              <w:top w:val="single" w:sz="4" w:space="0" w:color="auto"/>
              <w:left w:val="single" w:sz="4" w:space="0" w:color="auto"/>
              <w:bottom w:val="single" w:sz="4" w:space="0" w:color="auto"/>
              <w:right w:val="single" w:sz="4" w:space="0" w:color="auto"/>
            </w:tcBorders>
            <w:hideMark/>
          </w:tcPr>
          <w:p w:rsidR="00FF2EC0" w:rsidRPr="001D50E3" w:rsidRDefault="00FF2EC0" w:rsidP="00754C28">
            <w:pPr>
              <w:spacing w:after="60"/>
              <w:jc w:val="both"/>
              <w:rPr>
                <w:rFonts w:ascii="Arial" w:eastAsia="Calibri" w:hAnsi="Arial" w:cs="Arial"/>
                <w:i/>
                <w:noProof/>
                <w:sz w:val="16"/>
                <w:szCs w:val="16"/>
              </w:rPr>
            </w:pPr>
            <w:r w:rsidRPr="001D50E3">
              <w:rPr>
                <w:rFonts w:ascii="Arial" w:eastAsia="Calibri" w:hAnsi="Arial" w:cs="Arial"/>
                <w:i/>
                <w:noProof/>
                <w:sz w:val="16"/>
                <w:szCs w:val="16"/>
                <w:lang w:val="sq-AL"/>
              </w:rPr>
              <w:t>Shpenzimet te pergjtihshme te pranuara</w:t>
            </w:r>
          </w:p>
        </w:tc>
        <w:tc>
          <w:tcPr>
            <w:tcW w:w="410" w:type="pct"/>
            <w:tcBorders>
              <w:top w:val="single" w:sz="4" w:space="0" w:color="auto"/>
              <w:left w:val="single" w:sz="4" w:space="0" w:color="auto"/>
              <w:bottom w:val="single" w:sz="4" w:space="0" w:color="auto"/>
              <w:right w:val="single" w:sz="4" w:space="0" w:color="auto"/>
            </w:tcBorders>
            <w:hideMark/>
          </w:tcPr>
          <w:p w:rsidR="00FF2EC0" w:rsidRPr="001D50E3" w:rsidRDefault="00FF2EC0" w:rsidP="00754C28">
            <w:pPr>
              <w:spacing w:after="60"/>
              <w:jc w:val="both"/>
              <w:rPr>
                <w:rFonts w:ascii="Arial" w:eastAsia="Calibri" w:hAnsi="Arial" w:cs="Arial"/>
                <w:i/>
                <w:noProof/>
                <w:sz w:val="16"/>
                <w:szCs w:val="16"/>
              </w:rPr>
            </w:pPr>
            <w:r w:rsidRPr="001D50E3">
              <w:rPr>
                <w:rFonts w:ascii="Arial" w:eastAsia="Calibri" w:hAnsi="Arial" w:cs="Arial"/>
                <w:i/>
                <w:noProof/>
                <w:sz w:val="16"/>
                <w:szCs w:val="16"/>
              </w:rPr>
              <w:t>6 781 345,50</w:t>
            </w:r>
          </w:p>
        </w:tc>
        <w:tc>
          <w:tcPr>
            <w:tcW w:w="410" w:type="pct"/>
            <w:tcBorders>
              <w:top w:val="single" w:sz="4" w:space="0" w:color="auto"/>
              <w:left w:val="single" w:sz="4" w:space="0" w:color="auto"/>
              <w:bottom w:val="single" w:sz="4" w:space="0" w:color="auto"/>
              <w:right w:val="single" w:sz="4" w:space="0" w:color="auto"/>
            </w:tcBorders>
            <w:hideMark/>
          </w:tcPr>
          <w:p w:rsidR="00FF2EC0" w:rsidRPr="001D50E3" w:rsidRDefault="00FF2EC0" w:rsidP="00754C28">
            <w:pPr>
              <w:spacing w:after="60"/>
              <w:jc w:val="both"/>
              <w:rPr>
                <w:rFonts w:ascii="Arial" w:eastAsia="Calibri" w:hAnsi="Arial" w:cs="Arial"/>
                <w:i/>
                <w:noProof/>
                <w:sz w:val="16"/>
                <w:szCs w:val="16"/>
              </w:rPr>
            </w:pPr>
            <w:r w:rsidRPr="001D50E3">
              <w:rPr>
                <w:rFonts w:ascii="Arial" w:eastAsia="Calibri" w:hAnsi="Arial" w:cs="Arial"/>
                <w:i/>
                <w:noProof/>
                <w:sz w:val="16"/>
                <w:szCs w:val="16"/>
              </w:rPr>
              <w:t>6 164 859,55</w:t>
            </w:r>
          </w:p>
        </w:tc>
        <w:tc>
          <w:tcPr>
            <w:tcW w:w="364" w:type="pct"/>
            <w:tcBorders>
              <w:top w:val="single" w:sz="4" w:space="0" w:color="auto"/>
              <w:left w:val="single" w:sz="4" w:space="0" w:color="auto"/>
              <w:bottom w:val="single" w:sz="4" w:space="0" w:color="auto"/>
              <w:right w:val="single" w:sz="4" w:space="0" w:color="auto"/>
            </w:tcBorders>
            <w:hideMark/>
          </w:tcPr>
          <w:p w:rsidR="00FF2EC0" w:rsidRPr="001D50E3" w:rsidRDefault="00FF2EC0" w:rsidP="00754C28">
            <w:pPr>
              <w:spacing w:after="60"/>
              <w:jc w:val="both"/>
              <w:rPr>
                <w:rFonts w:ascii="Arial" w:eastAsia="Calibri" w:hAnsi="Arial" w:cs="Arial"/>
                <w:i/>
                <w:noProof/>
                <w:sz w:val="16"/>
                <w:szCs w:val="16"/>
              </w:rPr>
            </w:pPr>
            <w:r w:rsidRPr="001D50E3">
              <w:rPr>
                <w:rFonts w:ascii="Arial" w:eastAsia="Calibri" w:hAnsi="Arial" w:cs="Arial"/>
                <w:i/>
                <w:noProof/>
                <w:sz w:val="16"/>
                <w:szCs w:val="16"/>
              </w:rPr>
              <w:t>616 485,95</w:t>
            </w:r>
          </w:p>
        </w:tc>
        <w:tc>
          <w:tcPr>
            <w:tcW w:w="410" w:type="pct"/>
            <w:tcBorders>
              <w:top w:val="single" w:sz="4" w:space="0" w:color="auto"/>
              <w:left w:val="single" w:sz="4" w:space="0" w:color="auto"/>
              <w:bottom w:val="single" w:sz="4" w:space="0" w:color="auto"/>
              <w:right w:val="single" w:sz="4" w:space="0" w:color="auto"/>
            </w:tcBorders>
            <w:hideMark/>
          </w:tcPr>
          <w:p w:rsidR="00FF2EC0" w:rsidRPr="001D50E3" w:rsidRDefault="00FF2EC0" w:rsidP="00754C28">
            <w:pPr>
              <w:spacing w:after="60"/>
              <w:jc w:val="both"/>
              <w:rPr>
                <w:rFonts w:ascii="Arial" w:eastAsia="Calibri" w:hAnsi="Arial" w:cs="Arial"/>
                <w:i/>
                <w:noProof/>
                <w:sz w:val="16"/>
                <w:szCs w:val="16"/>
              </w:rPr>
            </w:pPr>
            <w:r w:rsidRPr="001D50E3">
              <w:rPr>
                <w:rFonts w:ascii="Arial" w:eastAsia="Calibri" w:hAnsi="Arial" w:cs="Arial"/>
                <w:i/>
                <w:noProof/>
                <w:sz w:val="16"/>
                <w:szCs w:val="16"/>
              </w:rPr>
              <w:t>1 196 708,04</w:t>
            </w:r>
          </w:p>
        </w:tc>
        <w:tc>
          <w:tcPr>
            <w:tcW w:w="317" w:type="pct"/>
            <w:tcBorders>
              <w:top w:val="single" w:sz="4" w:space="0" w:color="auto"/>
              <w:left w:val="single" w:sz="4" w:space="0" w:color="auto"/>
              <w:bottom w:val="single" w:sz="4" w:space="0" w:color="auto"/>
              <w:right w:val="single" w:sz="4" w:space="0" w:color="auto"/>
            </w:tcBorders>
            <w:hideMark/>
          </w:tcPr>
          <w:p w:rsidR="00FF2EC0" w:rsidRPr="001D50E3" w:rsidRDefault="00FF2EC0" w:rsidP="00754C28">
            <w:pPr>
              <w:spacing w:after="60"/>
              <w:jc w:val="both"/>
              <w:rPr>
                <w:rFonts w:ascii="Arial" w:eastAsia="Calibri" w:hAnsi="Arial" w:cs="Arial"/>
                <w:i/>
                <w:noProof/>
                <w:sz w:val="16"/>
                <w:szCs w:val="16"/>
              </w:rPr>
            </w:pPr>
            <w:r w:rsidRPr="001D50E3">
              <w:rPr>
                <w:rFonts w:ascii="Arial" w:eastAsia="Calibri" w:hAnsi="Arial" w:cs="Arial"/>
                <w:i/>
                <w:noProof/>
                <w:sz w:val="16"/>
                <w:szCs w:val="16"/>
              </w:rPr>
              <w:t>598 354,02</w:t>
            </w:r>
          </w:p>
        </w:tc>
        <w:tc>
          <w:tcPr>
            <w:tcW w:w="318" w:type="pct"/>
            <w:tcBorders>
              <w:top w:val="single" w:sz="4" w:space="0" w:color="auto"/>
              <w:left w:val="single" w:sz="4" w:space="0" w:color="auto"/>
              <w:bottom w:val="single" w:sz="4" w:space="0" w:color="auto"/>
              <w:right w:val="single" w:sz="4" w:space="0" w:color="auto"/>
            </w:tcBorders>
            <w:hideMark/>
          </w:tcPr>
          <w:p w:rsidR="00FF2EC0" w:rsidRPr="001D50E3" w:rsidRDefault="00FF2EC0" w:rsidP="00754C28">
            <w:pPr>
              <w:spacing w:after="60"/>
              <w:jc w:val="both"/>
              <w:rPr>
                <w:rFonts w:ascii="Arial" w:eastAsia="Calibri" w:hAnsi="Arial" w:cs="Arial"/>
                <w:i/>
                <w:noProof/>
                <w:sz w:val="16"/>
                <w:szCs w:val="16"/>
              </w:rPr>
            </w:pPr>
            <w:r w:rsidRPr="001D50E3">
              <w:rPr>
                <w:rFonts w:ascii="Arial" w:eastAsia="Calibri" w:hAnsi="Arial" w:cs="Arial"/>
                <w:i/>
                <w:noProof/>
                <w:sz w:val="16"/>
                <w:szCs w:val="16"/>
              </w:rPr>
              <w:t>598 354,02</w:t>
            </w:r>
          </w:p>
        </w:tc>
        <w:tc>
          <w:tcPr>
            <w:tcW w:w="308" w:type="pct"/>
            <w:tcBorders>
              <w:top w:val="single" w:sz="4" w:space="0" w:color="auto"/>
              <w:left w:val="single" w:sz="4" w:space="0" w:color="auto"/>
              <w:bottom w:val="single" w:sz="4" w:space="0" w:color="auto"/>
              <w:right w:val="single" w:sz="4" w:space="0" w:color="auto"/>
            </w:tcBorders>
            <w:hideMark/>
          </w:tcPr>
          <w:p w:rsidR="00FF2EC0" w:rsidRPr="001D50E3" w:rsidRDefault="00FF2EC0" w:rsidP="00754C28">
            <w:pPr>
              <w:spacing w:after="60"/>
              <w:jc w:val="both"/>
              <w:rPr>
                <w:rFonts w:ascii="Arial" w:eastAsia="Calibri" w:hAnsi="Arial" w:cs="Arial"/>
                <w:i/>
                <w:noProof/>
                <w:sz w:val="16"/>
                <w:szCs w:val="16"/>
              </w:rPr>
            </w:pPr>
            <w:r w:rsidRPr="001D50E3">
              <w:rPr>
                <w:rFonts w:ascii="Arial" w:eastAsia="Calibri" w:hAnsi="Arial" w:cs="Arial"/>
                <w:i/>
                <w:noProof/>
                <w:sz w:val="16"/>
                <w:szCs w:val="16"/>
              </w:rPr>
              <w:t>7 978 053,54</w:t>
            </w:r>
          </w:p>
        </w:tc>
        <w:tc>
          <w:tcPr>
            <w:tcW w:w="314" w:type="pct"/>
            <w:gridSpan w:val="2"/>
            <w:tcBorders>
              <w:top w:val="single" w:sz="4" w:space="0" w:color="auto"/>
              <w:left w:val="single" w:sz="4" w:space="0" w:color="auto"/>
              <w:bottom w:val="single" w:sz="4" w:space="0" w:color="auto"/>
              <w:right w:val="single" w:sz="4" w:space="0" w:color="auto"/>
            </w:tcBorders>
            <w:hideMark/>
          </w:tcPr>
          <w:p w:rsidR="00FF2EC0" w:rsidRPr="001D50E3" w:rsidRDefault="00FF2EC0" w:rsidP="00754C28">
            <w:pPr>
              <w:spacing w:after="60"/>
              <w:jc w:val="both"/>
              <w:rPr>
                <w:rFonts w:ascii="Arial" w:eastAsia="Calibri" w:hAnsi="Arial" w:cs="Arial"/>
                <w:i/>
                <w:noProof/>
                <w:sz w:val="16"/>
                <w:szCs w:val="16"/>
              </w:rPr>
            </w:pPr>
            <w:r w:rsidRPr="001D50E3">
              <w:rPr>
                <w:rFonts w:ascii="Arial" w:eastAsia="Calibri" w:hAnsi="Arial" w:cs="Arial"/>
                <w:i/>
                <w:noProof/>
                <w:sz w:val="16"/>
                <w:szCs w:val="16"/>
              </w:rPr>
              <w:t>0,85</w:t>
            </w:r>
          </w:p>
        </w:tc>
      </w:tr>
      <w:tr w:rsidR="00FF2EC0" w:rsidRPr="001D50E3" w:rsidTr="001D50E3">
        <w:tblPrEx>
          <w:jc w:val="left"/>
        </w:tblPrEx>
        <w:trPr>
          <w:gridAfter w:val="1"/>
          <w:wAfter w:w="200" w:type="pct"/>
        </w:trPr>
        <w:tc>
          <w:tcPr>
            <w:tcW w:w="857" w:type="pct"/>
            <w:gridSpan w:val="2"/>
            <w:vMerge/>
            <w:tcBorders>
              <w:top w:val="single" w:sz="4" w:space="0" w:color="auto"/>
              <w:left w:val="single" w:sz="4" w:space="0" w:color="auto"/>
              <w:bottom w:val="single" w:sz="4" w:space="0" w:color="auto"/>
              <w:right w:val="single" w:sz="4" w:space="0" w:color="auto"/>
            </w:tcBorders>
            <w:vAlign w:val="center"/>
            <w:hideMark/>
          </w:tcPr>
          <w:p w:rsidR="00FF2EC0" w:rsidRPr="001D50E3" w:rsidRDefault="00FF2EC0" w:rsidP="00754C28">
            <w:pPr>
              <w:jc w:val="both"/>
              <w:rPr>
                <w:rFonts w:ascii="Arial" w:eastAsia="Calibri" w:hAnsi="Arial" w:cs="Arial"/>
                <w:i/>
                <w:noProof/>
                <w:sz w:val="16"/>
                <w:szCs w:val="16"/>
              </w:rPr>
            </w:pPr>
          </w:p>
        </w:tc>
        <w:tc>
          <w:tcPr>
            <w:tcW w:w="501" w:type="pct"/>
            <w:gridSpan w:val="2"/>
            <w:tcBorders>
              <w:top w:val="single" w:sz="4" w:space="0" w:color="auto"/>
              <w:left w:val="single" w:sz="4" w:space="0" w:color="auto"/>
              <w:bottom w:val="single" w:sz="4" w:space="0" w:color="auto"/>
              <w:right w:val="single" w:sz="4" w:space="0" w:color="auto"/>
            </w:tcBorders>
            <w:hideMark/>
          </w:tcPr>
          <w:p w:rsidR="00FF2EC0" w:rsidRPr="001D50E3" w:rsidRDefault="00FF2EC0" w:rsidP="00754C28">
            <w:pPr>
              <w:spacing w:after="160"/>
              <w:jc w:val="both"/>
              <w:rPr>
                <w:rFonts w:ascii="Arial" w:eastAsia="Calibri" w:hAnsi="Arial" w:cs="Arial"/>
                <w:i/>
                <w:noProof/>
                <w:sz w:val="16"/>
                <w:szCs w:val="16"/>
              </w:rPr>
            </w:pPr>
            <w:r w:rsidRPr="001D50E3">
              <w:rPr>
                <w:rFonts w:ascii="Arial" w:eastAsia="Calibri" w:hAnsi="Arial" w:cs="Arial"/>
                <w:i/>
                <w:noProof/>
                <w:sz w:val="16"/>
                <w:szCs w:val="20"/>
                <w:lang w:val="mk-MK"/>
              </w:rPr>
              <w:t>ПГС во сосед-ството</w:t>
            </w:r>
          </w:p>
        </w:tc>
        <w:tc>
          <w:tcPr>
            <w:tcW w:w="592" w:type="pct"/>
            <w:tcBorders>
              <w:top w:val="single" w:sz="4" w:space="0" w:color="auto"/>
              <w:left w:val="single" w:sz="4" w:space="0" w:color="auto"/>
              <w:bottom w:val="single" w:sz="4" w:space="0" w:color="auto"/>
              <w:right w:val="single" w:sz="4" w:space="0" w:color="auto"/>
            </w:tcBorders>
          </w:tcPr>
          <w:p w:rsidR="00FF2EC0" w:rsidRPr="001D50E3" w:rsidRDefault="00FF2EC0" w:rsidP="00754C28">
            <w:pPr>
              <w:spacing w:after="60"/>
              <w:jc w:val="both"/>
              <w:rPr>
                <w:rFonts w:ascii="Arial" w:eastAsia="Calibri" w:hAnsi="Arial" w:cs="Arial"/>
                <w:i/>
                <w:noProof/>
                <w:sz w:val="16"/>
                <w:szCs w:val="16"/>
              </w:rPr>
            </w:pPr>
          </w:p>
        </w:tc>
        <w:tc>
          <w:tcPr>
            <w:tcW w:w="410" w:type="pct"/>
            <w:tcBorders>
              <w:top w:val="single" w:sz="4" w:space="0" w:color="auto"/>
              <w:left w:val="single" w:sz="4" w:space="0" w:color="auto"/>
              <w:bottom w:val="single" w:sz="4" w:space="0" w:color="auto"/>
              <w:right w:val="single" w:sz="4" w:space="0" w:color="auto"/>
            </w:tcBorders>
          </w:tcPr>
          <w:p w:rsidR="00FF2EC0" w:rsidRPr="001D50E3" w:rsidRDefault="00FF2EC0" w:rsidP="00754C28">
            <w:pPr>
              <w:spacing w:after="60"/>
              <w:jc w:val="both"/>
              <w:rPr>
                <w:rFonts w:ascii="Arial" w:eastAsia="Calibri" w:hAnsi="Arial" w:cs="Arial"/>
                <w:i/>
                <w:noProof/>
                <w:sz w:val="16"/>
                <w:szCs w:val="16"/>
              </w:rPr>
            </w:pPr>
          </w:p>
        </w:tc>
        <w:tc>
          <w:tcPr>
            <w:tcW w:w="410" w:type="pct"/>
            <w:tcBorders>
              <w:top w:val="single" w:sz="4" w:space="0" w:color="auto"/>
              <w:left w:val="single" w:sz="4" w:space="0" w:color="auto"/>
              <w:bottom w:val="single" w:sz="4" w:space="0" w:color="auto"/>
              <w:right w:val="single" w:sz="4" w:space="0" w:color="auto"/>
            </w:tcBorders>
          </w:tcPr>
          <w:p w:rsidR="00FF2EC0" w:rsidRPr="001D50E3" w:rsidRDefault="00FF2EC0" w:rsidP="00754C28">
            <w:pPr>
              <w:spacing w:after="60"/>
              <w:jc w:val="both"/>
              <w:rPr>
                <w:rFonts w:ascii="Arial" w:eastAsia="Calibri" w:hAnsi="Arial" w:cs="Arial"/>
                <w:i/>
                <w:noProof/>
                <w:sz w:val="16"/>
                <w:szCs w:val="16"/>
              </w:rPr>
            </w:pPr>
          </w:p>
        </w:tc>
        <w:tc>
          <w:tcPr>
            <w:tcW w:w="364" w:type="pct"/>
            <w:tcBorders>
              <w:top w:val="single" w:sz="4" w:space="0" w:color="auto"/>
              <w:left w:val="single" w:sz="4" w:space="0" w:color="auto"/>
              <w:bottom w:val="single" w:sz="4" w:space="0" w:color="auto"/>
              <w:right w:val="single" w:sz="4" w:space="0" w:color="auto"/>
            </w:tcBorders>
          </w:tcPr>
          <w:p w:rsidR="00FF2EC0" w:rsidRPr="001D50E3" w:rsidRDefault="00FF2EC0" w:rsidP="00754C28">
            <w:pPr>
              <w:spacing w:after="60"/>
              <w:jc w:val="both"/>
              <w:rPr>
                <w:rFonts w:ascii="Arial" w:eastAsia="Calibri" w:hAnsi="Arial" w:cs="Arial"/>
                <w:i/>
                <w:noProof/>
                <w:sz w:val="16"/>
                <w:szCs w:val="16"/>
              </w:rPr>
            </w:pPr>
          </w:p>
        </w:tc>
        <w:tc>
          <w:tcPr>
            <w:tcW w:w="410" w:type="pct"/>
            <w:tcBorders>
              <w:top w:val="single" w:sz="4" w:space="0" w:color="auto"/>
              <w:left w:val="single" w:sz="4" w:space="0" w:color="auto"/>
              <w:bottom w:val="single" w:sz="4" w:space="0" w:color="auto"/>
              <w:right w:val="single" w:sz="4" w:space="0" w:color="auto"/>
            </w:tcBorders>
          </w:tcPr>
          <w:p w:rsidR="00FF2EC0" w:rsidRPr="001D50E3" w:rsidRDefault="00FF2EC0" w:rsidP="00754C28">
            <w:pPr>
              <w:spacing w:after="60"/>
              <w:jc w:val="both"/>
              <w:rPr>
                <w:rFonts w:ascii="Arial" w:eastAsia="Calibri" w:hAnsi="Arial" w:cs="Arial"/>
                <w:i/>
                <w:noProof/>
                <w:sz w:val="16"/>
                <w:szCs w:val="16"/>
              </w:rPr>
            </w:pPr>
          </w:p>
        </w:tc>
        <w:tc>
          <w:tcPr>
            <w:tcW w:w="317" w:type="pct"/>
            <w:tcBorders>
              <w:top w:val="single" w:sz="4" w:space="0" w:color="auto"/>
              <w:left w:val="single" w:sz="4" w:space="0" w:color="auto"/>
              <w:bottom w:val="single" w:sz="4" w:space="0" w:color="auto"/>
              <w:right w:val="single" w:sz="4" w:space="0" w:color="auto"/>
            </w:tcBorders>
          </w:tcPr>
          <w:p w:rsidR="00FF2EC0" w:rsidRPr="001D50E3" w:rsidRDefault="00FF2EC0" w:rsidP="00754C28">
            <w:pPr>
              <w:spacing w:after="60"/>
              <w:jc w:val="both"/>
              <w:rPr>
                <w:rFonts w:ascii="Arial" w:eastAsia="Calibri" w:hAnsi="Arial" w:cs="Arial"/>
                <w:i/>
                <w:noProof/>
                <w:sz w:val="16"/>
                <w:szCs w:val="16"/>
              </w:rPr>
            </w:pPr>
          </w:p>
        </w:tc>
        <w:tc>
          <w:tcPr>
            <w:tcW w:w="318" w:type="pct"/>
            <w:tcBorders>
              <w:top w:val="single" w:sz="4" w:space="0" w:color="auto"/>
              <w:left w:val="single" w:sz="4" w:space="0" w:color="auto"/>
              <w:bottom w:val="single" w:sz="4" w:space="0" w:color="auto"/>
              <w:right w:val="single" w:sz="4" w:space="0" w:color="auto"/>
            </w:tcBorders>
          </w:tcPr>
          <w:p w:rsidR="00FF2EC0" w:rsidRPr="001D50E3" w:rsidRDefault="00FF2EC0" w:rsidP="00754C28">
            <w:pPr>
              <w:spacing w:after="60"/>
              <w:jc w:val="both"/>
              <w:rPr>
                <w:rFonts w:ascii="Arial" w:eastAsia="Calibri" w:hAnsi="Arial" w:cs="Arial"/>
                <w:i/>
                <w:noProof/>
                <w:sz w:val="16"/>
                <w:szCs w:val="16"/>
              </w:rPr>
            </w:pPr>
          </w:p>
        </w:tc>
        <w:tc>
          <w:tcPr>
            <w:tcW w:w="308" w:type="pct"/>
            <w:tcBorders>
              <w:top w:val="single" w:sz="4" w:space="0" w:color="auto"/>
              <w:left w:val="single" w:sz="4" w:space="0" w:color="auto"/>
              <w:bottom w:val="single" w:sz="4" w:space="0" w:color="auto"/>
              <w:right w:val="single" w:sz="4" w:space="0" w:color="auto"/>
            </w:tcBorders>
          </w:tcPr>
          <w:p w:rsidR="00FF2EC0" w:rsidRPr="001D50E3" w:rsidRDefault="00FF2EC0" w:rsidP="00754C28">
            <w:pPr>
              <w:spacing w:after="60"/>
              <w:jc w:val="both"/>
              <w:rPr>
                <w:rFonts w:ascii="Arial" w:eastAsia="Calibri" w:hAnsi="Arial" w:cs="Arial"/>
                <w:i/>
                <w:noProof/>
                <w:sz w:val="16"/>
                <w:szCs w:val="16"/>
              </w:rPr>
            </w:pPr>
          </w:p>
        </w:tc>
        <w:tc>
          <w:tcPr>
            <w:tcW w:w="314" w:type="pct"/>
            <w:gridSpan w:val="2"/>
            <w:tcBorders>
              <w:top w:val="single" w:sz="4" w:space="0" w:color="auto"/>
              <w:left w:val="single" w:sz="4" w:space="0" w:color="auto"/>
              <w:bottom w:val="single" w:sz="4" w:space="0" w:color="auto"/>
              <w:right w:val="single" w:sz="4" w:space="0" w:color="auto"/>
            </w:tcBorders>
          </w:tcPr>
          <w:p w:rsidR="00FF2EC0" w:rsidRPr="001D50E3" w:rsidRDefault="00FF2EC0" w:rsidP="00754C28">
            <w:pPr>
              <w:spacing w:after="60"/>
              <w:jc w:val="both"/>
              <w:rPr>
                <w:rFonts w:ascii="Arial" w:eastAsia="Calibri" w:hAnsi="Arial" w:cs="Arial"/>
                <w:i/>
                <w:noProof/>
                <w:sz w:val="16"/>
                <w:szCs w:val="16"/>
              </w:rPr>
            </w:pPr>
          </w:p>
        </w:tc>
      </w:tr>
      <w:tr w:rsidR="00FF2EC0" w:rsidRPr="001D50E3" w:rsidTr="001D50E3">
        <w:tblPrEx>
          <w:jc w:val="left"/>
        </w:tblPrEx>
        <w:trPr>
          <w:gridAfter w:val="1"/>
          <w:wAfter w:w="200" w:type="pct"/>
        </w:trPr>
        <w:tc>
          <w:tcPr>
            <w:tcW w:w="857" w:type="pct"/>
            <w:gridSpan w:val="2"/>
            <w:vMerge/>
            <w:tcBorders>
              <w:top w:val="single" w:sz="4" w:space="0" w:color="auto"/>
              <w:left w:val="single" w:sz="4" w:space="0" w:color="auto"/>
              <w:bottom w:val="single" w:sz="4" w:space="0" w:color="auto"/>
              <w:right w:val="single" w:sz="4" w:space="0" w:color="auto"/>
            </w:tcBorders>
            <w:vAlign w:val="center"/>
            <w:hideMark/>
          </w:tcPr>
          <w:p w:rsidR="00FF2EC0" w:rsidRPr="001D50E3" w:rsidRDefault="00FF2EC0" w:rsidP="00754C28">
            <w:pPr>
              <w:jc w:val="both"/>
              <w:rPr>
                <w:rFonts w:ascii="Arial" w:eastAsia="Calibri" w:hAnsi="Arial" w:cs="Arial"/>
                <w:i/>
                <w:noProof/>
                <w:sz w:val="16"/>
                <w:szCs w:val="16"/>
              </w:rPr>
            </w:pPr>
          </w:p>
        </w:tc>
        <w:tc>
          <w:tcPr>
            <w:tcW w:w="501" w:type="pct"/>
            <w:gridSpan w:val="2"/>
            <w:tcBorders>
              <w:top w:val="single" w:sz="4" w:space="0" w:color="auto"/>
              <w:left w:val="single" w:sz="4" w:space="0" w:color="auto"/>
              <w:bottom w:val="single" w:sz="4" w:space="0" w:color="auto"/>
              <w:right w:val="single" w:sz="4" w:space="0" w:color="auto"/>
            </w:tcBorders>
            <w:hideMark/>
          </w:tcPr>
          <w:p w:rsidR="00FF2EC0" w:rsidRPr="001D50E3" w:rsidRDefault="00FF2EC0" w:rsidP="00754C28">
            <w:pPr>
              <w:spacing w:after="160"/>
              <w:jc w:val="both"/>
              <w:rPr>
                <w:rFonts w:ascii="Arial" w:eastAsia="Calibri" w:hAnsi="Arial" w:cs="Arial"/>
                <w:i/>
                <w:noProof/>
                <w:sz w:val="16"/>
                <w:szCs w:val="16"/>
              </w:rPr>
            </w:pPr>
            <w:r w:rsidRPr="001D50E3">
              <w:rPr>
                <w:rFonts w:ascii="Arial" w:eastAsia="Calibri" w:hAnsi="Arial" w:cs="Arial"/>
                <w:i/>
                <w:noProof/>
                <w:sz w:val="16"/>
                <w:szCs w:val="16"/>
                <w:lang w:val="mk-MK"/>
              </w:rPr>
              <w:t>ИПА</w:t>
            </w:r>
            <w:r w:rsidRPr="001D50E3">
              <w:rPr>
                <w:rFonts w:ascii="Arial" w:eastAsia="Calibri" w:hAnsi="Arial" w:cs="Arial"/>
                <w:i/>
                <w:noProof/>
                <w:sz w:val="16"/>
                <w:szCs w:val="16"/>
              </w:rPr>
              <w:t> III</w:t>
            </w:r>
          </w:p>
        </w:tc>
        <w:tc>
          <w:tcPr>
            <w:tcW w:w="592" w:type="pct"/>
            <w:tcBorders>
              <w:top w:val="single" w:sz="4" w:space="0" w:color="auto"/>
              <w:left w:val="single" w:sz="4" w:space="0" w:color="auto"/>
              <w:bottom w:val="single" w:sz="4" w:space="0" w:color="auto"/>
              <w:right w:val="single" w:sz="4" w:space="0" w:color="auto"/>
            </w:tcBorders>
          </w:tcPr>
          <w:p w:rsidR="00FF2EC0" w:rsidRPr="001D50E3" w:rsidRDefault="00FF2EC0" w:rsidP="00754C28">
            <w:pPr>
              <w:spacing w:after="60"/>
              <w:jc w:val="both"/>
              <w:rPr>
                <w:rFonts w:ascii="Arial" w:eastAsia="Calibri" w:hAnsi="Arial" w:cs="Arial"/>
                <w:i/>
                <w:noProof/>
                <w:sz w:val="16"/>
                <w:szCs w:val="16"/>
              </w:rPr>
            </w:pPr>
          </w:p>
        </w:tc>
        <w:tc>
          <w:tcPr>
            <w:tcW w:w="410" w:type="pct"/>
            <w:tcBorders>
              <w:top w:val="single" w:sz="4" w:space="0" w:color="auto"/>
              <w:left w:val="single" w:sz="4" w:space="0" w:color="auto"/>
              <w:bottom w:val="single" w:sz="4" w:space="0" w:color="auto"/>
              <w:right w:val="single" w:sz="4" w:space="0" w:color="auto"/>
            </w:tcBorders>
          </w:tcPr>
          <w:p w:rsidR="00FF2EC0" w:rsidRPr="001D50E3" w:rsidRDefault="00FF2EC0" w:rsidP="00754C28">
            <w:pPr>
              <w:spacing w:after="60"/>
              <w:jc w:val="both"/>
              <w:rPr>
                <w:rFonts w:ascii="Arial" w:eastAsia="Calibri" w:hAnsi="Arial" w:cs="Arial"/>
                <w:i/>
                <w:noProof/>
                <w:sz w:val="16"/>
                <w:szCs w:val="16"/>
              </w:rPr>
            </w:pPr>
          </w:p>
        </w:tc>
        <w:tc>
          <w:tcPr>
            <w:tcW w:w="410" w:type="pct"/>
            <w:tcBorders>
              <w:top w:val="single" w:sz="4" w:space="0" w:color="auto"/>
              <w:left w:val="single" w:sz="4" w:space="0" w:color="auto"/>
              <w:bottom w:val="single" w:sz="4" w:space="0" w:color="auto"/>
              <w:right w:val="single" w:sz="4" w:space="0" w:color="auto"/>
            </w:tcBorders>
          </w:tcPr>
          <w:p w:rsidR="00FF2EC0" w:rsidRPr="001D50E3" w:rsidRDefault="00FF2EC0" w:rsidP="00754C28">
            <w:pPr>
              <w:spacing w:after="60"/>
              <w:jc w:val="both"/>
              <w:rPr>
                <w:rFonts w:ascii="Arial" w:eastAsia="Calibri" w:hAnsi="Arial" w:cs="Arial"/>
                <w:i/>
                <w:noProof/>
                <w:sz w:val="16"/>
                <w:szCs w:val="16"/>
              </w:rPr>
            </w:pPr>
          </w:p>
        </w:tc>
        <w:tc>
          <w:tcPr>
            <w:tcW w:w="364" w:type="pct"/>
            <w:tcBorders>
              <w:top w:val="single" w:sz="4" w:space="0" w:color="auto"/>
              <w:left w:val="single" w:sz="4" w:space="0" w:color="auto"/>
              <w:bottom w:val="single" w:sz="4" w:space="0" w:color="auto"/>
              <w:right w:val="single" w:sz="4" w:space="0" w:color="auto"/>
            </w:tcBorders>
          </w:tcPr>
          <w:p w:rsidR="00FF2EC0" w:rsidRPr="001D50E3" w:rsidRDefault="00FF2EC0" w:rsidP="00754C28">
            <w:pPr>
              <w:spacing w:after="60"/>
              <w:jc w:val="both"/>
              <w:rPr>
                <w:rFonts w:ascii="Arial" w:eastAsia="Calibri" w:hAnsi="Arial" w:cs="Arial"/>
                <w:i/>
                <w:noProof/>
                <w:sz w:val="16"/>
                <w:szCs w:val="16"/>
              </w:rPr>
            </w:pPr>
          </w:p>
        </w:tc>
        <w:tc>
          <w:tcPr>
            <w:tcW w:w="410" w:type="pct"/>
            <w:tcBorders>
              <w:top w:val="single" w:sz="4" w:space="0" w:color="auto"/>
              <w:left w:val="single" w:sz="4" w:space="0" w:color="auto"/>
              <w:bottom w:val="single" w:sz="4" w:space="0" w:color="auto"/>
              <w:right w:val="single" w:sz="4" w:space="0" w:color="auto"/>
            </w:tcBorders>
          </w:tcPr>
          <w:p w:rsidR="00FF2EC0" w:rsidRPr="001D50E3" w:rsidRDefault="00FF2EC0" w:rsidP="00754C28">
            <w:pPr>
              <w:spacing w:after="60"/>
              <w:jc w:val="both"/>
              <w:rPr>
                <w:rFonts w:ascii="Arial" w:eastAsia="Calibri" w:hAnsi="Arial" w:cs="Arial"/>
                <w:i/>
                <w:noProof/>
                <w:sz w:val="16"/>
                <w:szCs w:val="16"/>
              </w:rPr>
            </w:pPr>
          </w:p>
        </w:tc>
        <w:tc>
          <w:tcPr>
            <w:tcW w:w="317" w:type="pct"/>
            <w:tcBorders>
              <w:top w:val="single" w:sz="4" w:space="0" w:color="auto"/>
              <w:left w:val="single" w:sz="4" w:space="0" w:color="auto"/>
              <w:bottom w:val="single" w:sz="4" w:space="0" w:color="auto"/>
              <w:right w:val="single" w:sz="4" w:space="0" w:color="auto"/>
            </w:tcBorders>
          </w:tcPr>
          <w:p w:rsidR="00FF2EC0" w:rsidRPr="001D50E3" w:rsidRDefault="00FF2EC0" w:rsidP="00754C28">
            <w:pPr>
              <w:spacing w:after="60"/>
              <w:jc w:val="both"/>
              <w:rPr>
                <w:rFonts w:ascii="Arial" w:eastAsia="Calibri" w:hAnsi="Arial" w:cs="Arial"/>
                <w:i/>
                <w:noProof/>
                <w:sz w:val="16"/>
                <w:szCs w:val="16"/>
              </w:rPr>
            </w:pPr>
          </w:p>
        </w:tc>
        <w:tc>
          <w:tcPr>
            <w:tcW w:w="318" w:type="pct"/>
            <w:tcBorders>
              <w:top w:val="single" w:sz="4" w:space="0" w:color="auto"/>
              <w:left w:val="single" w:sz="4" w:space="0" w:color="auto"/>
              <w:bottom w:val="single" w:sz="4" w:space="0" w:color="auto"/>
              <w:right w:val="single" w:sz="4" w:space="0" w:color="auto"/>
            </w:tcBorders>
          </w:tcPr>
          <w:p w:rsidR="00FF2EC0" w:rsidRPr="001D50E3" w:rsidRDefault="00FF2EC0" w:rsidP="00754C28">
            <w:pPr>
              <w:spacing w:after="60"/>
              <w:jc w:val="both"/>
              <w:rPr>
                <w:rFonts w:ascii="Arial" w:eastAsia="Calibri" w:hAnsi="Arial" w:cs="Arial"/>
                <w:i/>
                <w:noProof/>
                <w:sz w:val="16"/>
                <w:szCs w:val="16"/>
              </w:rPr>
            </w:pPr>
          </w:p>
        </w:tc>
        <w:tc>
          <w:tcPr>
            <w:tcW w:w="308" w:type="pct"/>
            <w:tcBorders>
              <w:top w:val="single" w:sz="4" w:space="0" w:color="auto"/>
              <w:left w:val="single" w:sz="4" w:space="0" w:color="auto"/>
              <w:bottom w:val="single" w:sz="4" w:space="0" w:color="auto"/>
              <w:right w:val="single" w:sz="4" w:space="0" w:color="auto"/>
            </w:tcBorders>
          </w:tcPr>
          <w:p w:rsidR="00FF2EC0" w:rsidRPr="001D50E3" w:rsidRDefault="00FF2EC0" w:rsidP="00754C28">
            <w:pPr>
              <w:spacing w:after="60"/>
              <w:jc w:val="both"/>
              <w:rPr>
                <w:rFonts w:ascii="Arial" w:eastAsia="Calibri" w:hAnsi="Arial" w:cs="Arial"/>
                <w:i/>
                <w:noProof/>
                <w:sz w:val="16"/>
                <w:szCs w:val="16"/>
              </w:rPr>
            </w:pPr>
          </w:p>
        </w:tc>
        <w:tc>
          <w:tcPr>
            <w:tcW w:w="314" w:type="pct"/>
            <w:gridSpan w:val="2"/>
            <w:tcBorders>
              <w:top w:val="single" w:sz="4" w:space="0" w:color="auto"/>
              <w:left w:val="single" w:sz="4" w:space="0" w:color="auto"/>
              <w:bottom w:val="single" w:sz="4" w:space="0" w:color="auto"/>
              <w:right w:val="single" w:sz="4" w:space="0" w:color="auto"/>
            </w:tcBorders>
          </w:tcPr>
          <w:p w:rsidR="00FF2EC0" w:rsidRPr="001D50E3" w:rsidRDefault="00FF2EC0" w:rsidP="00754C28">
            <w:pPr>
              <w:spacing w:after="60"/>
              <w:jc w:val="both"/>
              <w:rPr>
                <w:rFonts w:ascii="Arial" w:eastAsia="Calibri" w:hAnsi="Arial" w:cs="Arial"/>
                <w:i/>
                <w:noProof/>
                <w:sz w:val="16"/>
                <w:szCs w:val="16"/>
              </w:rPr>
            </w:pPr>
          </w:p>
        </w:tc>
      </w:tr>
      <w:tr w:rsidR="00FF2EC0" w:rsidRPr="001D50E3" w:rsidTr="001D50E3">
        <w:tblPrEx>
          <w:jc w:val="left"/>
        </w:tblPrEx>
        <w:trPr>
          <w:gridAfter w:val="1"/>
          <w:wAfter w:w="200" w:type="pct"/>
        </w:trPr>
        <w:tc>
          <w:tcPr>
            <w:tcW w:w="857" w:type="pct"/>
            <w:gridSpan w:val="2"/>
            <w:vMerge/>
            <w:tcBorders>
              <w:top w:val="single" w:sz="4" w:space="0" w:color="auto"/>
              <w:left w:val="single" w:sz="4" w:space="0" w:color="auto"/>
              <w:bottom w:val="single" w:sz="4" w:space="0" w:color="auto"/>
              <w:right w:val="single" w:sz="4" w:space="0" w:color="auto"/>
            </w:tcBorders>
            <w:vAlign w:val="center"/>
            <w:hideMark/>
          </w:tcPr>
          <w:p w:rsidR="00FF2EC0" w:rsidRPr="001D50E3" w:rsidRDefault="00FF2EC0" w:rsidP="00754C28">
            <w:pPr>
              <w:jc w:val="both"/>
              <w:rPr>
                <w:rFonts w:ascii="Arial" w:eastAsia="Calibri" w:hAnsi="Arial" w:cs="Arial"/>
                <w:i/>
                <w:noProof/>
                <w:sz w:val="16"/>
                <w:szCs w:val="16"/>
              </w:rPr>
            </w:pPr>
          </w:p>
        </w:tc>
        <w:tc>
          <w:tcPr>
            <w:tcW w:w="501" w:type="pct"/>
            <w:gridSpan w:val="2"/>
            <w:tcBorders>
              <w:top w:val="single" w:sz="4" w:space="0" w:color="auto"/>
              <w:left w:val="single" w:sz="4" w:space="0" w:color="auto"/>
              <w:bottom w:val="single" w:sz="4" w:space="0" w:color="auto"/>
              <w:right w:val="single" w:sz="4" w:space="0" w:color="auto"/>
            </w:tcBorders>
            <w:hideMark/>
          </w:tcPr>
          <w:p w:rsidR="00FF2EC0" w:rsidRPr="001D50E3" w:rsidRDefault="00FF2EC0" w:rsidP="00754C28">
            <w:pPr>
              <w:spacing w:after="160"/>
              <w:jc w:val="both"/>
              <w:rPr>
                <w:rFonts w:ascii="Arial" w:eastAsia="Calibri" w:hAnsi="Arial" w:cs="Arial"/>
                <w:i/>
                <w:noProof/>
                <w:sz w:val="16"/>
                <w:szCs w:val="16"/>
                <w:lang w:val="mk-MK"/>
              </w:rPr>
            </w:pPr>
            <w:r w:rsidRPr="001D50E3">
              <w:rPr>
                <w:rFonts w:ascii="Arial" w:eastAsia="Calibri" w:hAnsi="Arial" w:cs="Arial"/>
                <w:i/>
                <w:noProof/>
                <w:sz w:val="16"/>
                <w:szCs w:val="16"/>
                <w:lang w:val="mk-MK"/>
              </w:rPr>
              <w:t>ИСРТС</w:t>
            </w:r>
          </w:p>
        </w:tc>
        <w:tc>
          <w:tcPr>
            <w:tcW w:w="592" w:type="pct"/>
            <w:tcBorders>
              <w:top w:val="single" w:sz="4" w:space="0" w:color="auto"/>
              <w:left w:val="single" w:sz="4" w:space="0" w:color="auto"/>
              <w:bottom w:val="single" w:sz="4" w:space="0" w:color="auto"/>
              <w:right w:val="single" w:sz="4" w:space="0" w:color="auto"/>
            </w:tcBorders>
          </w:tcPr>
          <w:p w:rsidR="00FF2EC0" w:rsidRPr="001D50E3" w:rsidRDefault="00FF2EC0" w:rsidP="00754C28">
            <w:pPr>
              <w:spacing w:after="60"/>
              <w:jc w:val="both"/>
              <w:rPr>
                <w:rFonts w:ascii="Arial" w:eastAsia="Calibri" w:hAnsi="Arial" w:cs="Arial"/>
                <w:i/>
                <w:noProof/>
                <w:sz w:val="16"/>
                <w:szCs w:val="16"/>
              </w:rPr>
            </w:pPr>
          </w:p>
        </w:tc>
        <w:tc>
          <w:tcPr>
            <w:tcW w:w="410" w:type="pct"/>
            <w:tcBorders>
              <w:top w:val="single" w:sz="4" w:space="0" w:color="auto"/>
              <w:left w:val="single" w:sz="4" w:space="0" w:color="auto"/>
              <w:bottom w:val="single" w:sz="4" w:space="0" w:color="auto"/>
              <w:right w:val="single" w:sz="4" w:space="0" w:color="auto"/>
            </w:tcBorders>
          </w:tcPr>
          <w:p w:rsidR="00FF2EC0" w:rsidRPr="001D50E3" w:rsidRDefault="00FF2EC0" w:rsidP="00754C28">
            <w:pPr>
              <w:spacing w:after="60"/>
              <w:jc w:val="both"/>
              <w:rPr>
                <w:rFonts w:ascii="Arial" w:eastAsia="Calibri" w:hAnsi="Arial" w:cs="Arial"/>
                <w:i/>
                <w:noProof/>
                <w:sz w:val="16"/>
                <w:szCs w:val="16"/>
              </w:rPr>
            </w:pPr>
          </w:p>
        </w:tc>
        <w:tc>
          <w:tcPr>
            <w:tcW w:w="410" w:type="pct"/>
            <w:tcBorders>
              <w:top w:val="single" w:sz="4" w:space="0" w:color="auto"/>
              <w:left w:val="single" w:sz="4" w:space="0" w:color="auto"/>
              <w:bottom w:val="single" w:sz="4" w:space="0" w:color="auto"/>
              <w:right w:val="single" w:sz="4" w:space="0" w:color="auto"/>
            </w:tcBorders>
          </w:tcPr>
          <w:p w:rsidR="00FF2EC0" w:rsidRPr="001D50E3" w:rsidRDefault="00FF2EC0" w:rsidP="00754C28">
            <w:pPr>
              <w:spacing w:after="60"/>
              <w:jc w:val="both"/>
              <w:rPr>
                <w:rFonts w:ascii="Arial" w:eastAsia="Calibri" w:hAnsi="Arial" w:cs="Arial"/>
                <w:i/>
                <w:noProof/>
                <w:sz w:val="16"/>
                <w:szCs w:val="16"/>
              </w:rPr>
            </w:pPr>
          </w:p>
        </w:tc>
        <w:tc>
          <w:tcPr>
            <w:tcW w:w="364" w:type="pct"/>
            <w:tcBorders>
              <w:top w:val="single" w:sz="4" w:space="0" w:color="auto"/>
              <w:left w:val="single" w:sz="4" w:space="0" w:color="auto"/>
              <w:bottom w:val="single" w:sz="4" w:space="0" w:color="auto"/>
              <w:right w:val="single" w:sz="4" w:space="0" w:color="auto"/>
            </w:tcBorders>
          </w:tcPr>
          <w:p w:rsidR="00FF2EC0" w:rsidRPr="001D50E3" w:rsidRDefault="00FF2EC0" w:rsidP="00754C28">
            <w:pPr>
              <w:spacing w:after="60"/>
              <w:jc w:val="both"/>
              <w:rPr>
                <w:rFonts w:ascii="Arial" w:eastAsia="Calibri" w:hAnsi="Arial" w:cs="Arial"/>
                <w:i/>
                <w:noProof/>
                <w:sz w:val="16"/>
                <w:szCs w:val="16"/>
              </w:rPr>
            </w:pPr>
          </w:p>
        </w:tc>
        <w:tc>
          <w:tcPr>
            <w:tcW w:w="410" w:type="pct"/>
            <w:tcBorders>
              <w:top w:val="single" w:sz="4" w:space="0" w:color="auto"/>
              <w:left w:val="single" w:sz="4" w:space="0" w:color="auto"/>
              <w:bottom w:val="single" w:sz="4" w:space="0" w:color="auto"/>
              <w:right w:val="single" w:sz="4" w:space="0" w:color="auto"/>
            </w:tcBorders>
          </w:tcPr>
          <w:p w:rsidR="00FF2EC0" w:rsidRPr="001D50E3" w:rsidRDefault="00FF2EC0" w:rsidP="00754C28">
            <w:pPr>
              <w:spacing w:after="60"/>
              <w:jc w:val="both"/>
              <w:rPr>
                <w:rFonts w:ascii="Arial" w:eastAsia="Calibri" w:hAnsi="Arial" w:cs="Arial"/>
                <w:i/>
                <w:noProof/>
                <w:sz w:val="16"/>
                <w:szCs w:val="16"/>
              </w:rPr>
            </w:pPr>
          </w:p>
        </w:tc>
        <w:tc>
          <w:tcPr>
            <w:tcW w:w="317" w:type="pct"/>
            <w:tcBorders>
              <w:top w:val="single" w:sz="4" w:space="0" w:color="auto"/>
              <w:left w:val="single" w:sz="4" w:space="0" w:color="auto"/>
              <w:bottom w:val="single" w:sz="4" w:space="0" w:color="auto"/>
              <w:right w:val="single" w:sz="4" w:space="0" w:color="auto"/>
            </w:tcBorders>
          </w:tcPr>
          <w:p w:rsidR="00FF2EC0" w:rsidRPr="001D50E3" w:rsidRDefault="00FF2EC0" w:rsidP="00754C28">
            <w:pPr>
              <w:spacing w:after="60"/>
              <w:jc w:val="both"/>
              <w:rPr>
                <w:rFonts w:ascii="Arial" w:eastAsia="Calibri" w:hAnsi="Arial" w:cs="Arial"/>
                <w:i/>
                <w:noProof/>
                <w:sz w:val="16"/>
                <w:szCs w:val="16"/>
              </w:rPr>
            </w:pPr>
          </w:p>
        </w:tc>
        <w:tc>
          <w:tcPr>
            <w:tcW w:w="318" w:type="pct"/>
            <w:tcBorders>
              <w:top w:val="single" w:sz="4" w:space="0" w:color="auto"/>
              <w:left w:val="single" w:sz="4" w:space="0" w:color="auto"/>
              <w:bottom w:val="single" w:sz="4" w:space="0" w:color="auto"/>
              <w:right w:val="single" w:sz="4" w:space="0" w:color="auto"/>
            </w:tcBorders>
          </w:tcPr>
          <w:p w:rsidR="00FF2EC0" w:rsidRPr="001D50E3" w:rsidRDefault="00FF2EC0" w:rsidP="00754C28">
            <w:pPr>
              <w:spacing w:after="60"/>
              <w:jc w:val="both"/>
              <w:rPr>
                <w:rFonts w:ascii="Arial" w:eastAsia="Calibri" w:hAnsi="Arial" w:cs="Arial"/>
                <w:i/>
                <w:noProof/>
                <w:sz w:val="16"/>
                <w:szCs w:val="16"/>
              </w:rPr>
            </w:pPr>
          </w:p>
        </w:tc>
        <w:tc>
          <w:tcPr>
            <w:tcW w:w="308" w:type="pct"/>
            <w:tcBorders>
              <w:top w:val="single" w:sz="4" w:space="0" w:color="auto"/>
              <w:left w:val="single" w:sz="4" w:space="0" w:color="auto"/>
              <w:bottom w:val="single" w:sz="4" w:space="0" w:color="auto"/>
              <w:right w:val="single" w:sz="4" w:space="0" w:color="auto"/>
            </w:tcBorders>
          </w:tcPr>
          <w:p w:rsidR="00FF2EC0" w:rsidRPr="001D50E3" w:rsidRDefault="00FF2EC0" w:rsidP="00754C28">
            <w:pPr>
              <w:spacing w:after="60"/>
              <w:jc w:val="both"/>
              <w:rPr>
                <w:rFonts w:ascii="Arial" w:eastAsia="Calibri" w:hAnsi="Arial" w:cs="Arial"/>
                <w:i/>
                <w:noProof/>
                <w:sz w:val="16"/>
                <w:szCs w:val="16"/>
              </w:rPr>
            </w:pPr>
          </w:p>
        </w:tc>
        <w:tc>
          <w:tcPr>
            <w:tcW w:w="314" w:type="pct"/>
            <w:gridSpan w:val="2"/>
            <w:tcBorders>
              <w:top w:val="single" w:sz="4" w:space="0" w:color="auto"/>
              <w:left w:val="single" w:sz="4" w:space="0" w:color="auto"/>
              <w:bottom w:val="single" w:sz="4" w:space="0" w:color="auto"/>
              <w:right w:val="single" w:sz="4" w:space="0" w:color="auto"/>
            </w:tcBorders>
          </w:tcPr>
          <w:p w:rsidR="00FF2EC0" w:rsidRPr="001D50E3" w:rsidRDefault="00FF2EC0" w:rsidP="00754C28">
            <w:pPr>
              <w:spacing w:after="60"/>
              <w:jc w:val="both"/>
              <w:rPr>
                <w:rFonts w:ascii="Arial" w:eastAsia="Calibri" w:hAnsi="Arial" w:cs="Arial"/>
                <w:i/>
                <w:noProof/>
                <w:sz w:val="16"/>
                <w:szCs w:val="16"/>
              </w:rPr>
            </w:pPr>
          </w:p>
        </w:tc>
      </w:tr>
      <w:tr w:rsidR="00FF2EC0" w:rsidRPr="001D50E3" w:rsidTr="001D50E3">
        <w:tblPrEx>
          <w:jc w:val="left"/>
        </w:tblPrEx>
        <w:trPr>
          <w:gridAfter w:val="1"/>
          <w:wAfter w:w="200" w:type="pct"/>
        </w:trPr>
        <w:tc>
          <w:tcPr>
            <w:tcW w:w="857" w:type="pct"/>
            <w:gridSpan w:val="2"/>
            <w:vMerge/>
            <w:tcBorders>
              <w:top w:val="single" w:sz="4" w:space="0" w:color="auto"/>
              <w:left w:val="single" w:sz="4" w:space="0" w:color="auto"/>
              <w:bottom w:val="single" w:sz="4" w:space="0" w:color="auto"/>
              <w:right w:val="single" w:sz="4" w:space="0" w:color="auto"/>
            </w:tcBorders>
            <w:vAlign w:val="center"/>
            <w:hideMark/>
          </w:tcPr>
          <w:p w:rsidR="00FF2EC0" w:rsidRPr="001D50E3" w:rsidRDefault="00FF2EC0" w:rsidP="00754C28">
            <w:pPr>
              <w:jc w:val="both"/>
              <w:rPr>
                <w:rFonts w:ascii="Arial" w:eastAsia="Calibri" w:hAnsi="Arial" w:cs="Arial"/>
                <w:i/>
                <w:noProof/>
                <w:sz w:val="16"/>
                <w:szCs w:val="16"/>
              </w:rPr>
            </w:pPr>
          </w:p>
        </w:tc>
        <w:tc>
          <w:tcPr>
            <w:tcW w:w="501" w:type="pct"/>
            <w:gridSpan w:val="2"/>
            <w:tcBorders>
              <w:top w:val="single" w:sz="4" w:space="0" w:color="auto"/>
              <w:left w:val="single" w:sz="4" w:space="0" w:color="auto"/>
              <w:bottom w:val="single" w:sz="4" w:space="0" w:color="auto"/>
              <w:right w:val="single" w:sz="4" w:space="0" w:color="auto"/>
            </w:tcBorders>
            <w:hideMark/>
          </w:tcPr>
          <w:p w:rsidR="00FF2EC0" w:rsidRPr="001D50E3" w:rsidRDefault="00FF2EC0" w:rsidP="00754C28">
            <w:pPr>
              <w:spacing w:after="160"/>
              <w:jc w:val="both"/>
              <w:rPr>
                <w:rFonts w:ascii="Arial" w:eastAsia="Calibri" w:hAnsi="Arial" w:cs="Arial"/>
                <w:i/>
                <w:noProof/>
                <w:sz w:val="16"/>
                <w:szCs w:val="16"/>
              </w:rPr>
            </w:pPr>
            <w:r w:rsidRPr="001D50E3">
              <w:rPr>
                <w:rFonts w:ascii="Arial" w:eastAsia="Calibri" w:hAnsi="Arial" w:cs="Arial"/>
                <w:i/>
                <w:noProof/>
                <w:sz w:val="16"/>
                <w:szCs w:val="16"/>
              </w:rPr>
              <w:t>OCTP</w:t>
            </w:r>
          </w:p>
        </w:tc>
        <w:tc>
          <w:tcPr>
            <w:tcW w:w="592" w:type="pct"/>
            <w:tcBorders>
              <w:top w:val="single" w:sz="4" w:space="0" w:color="auto"/>
              <w:left w:val="single" w:sz="4" w:space="0" w:color="auto"/>
              <w:bottom w:val="single" w:sz="4" w:space="0" w:color="auto"/>
              <w:right w:val="single" w:sz="4" w:space="0" w:color="auto"/>
            </w:tcBorders>
          </w:tcPr>
          <w:p w:rsidR="00FF2EC0" w:rsidRPr="001D50E3" w:rsidRDefault="00FF2EC0" w:rsidP="00754C28">
            <w:pPr>
              <w:spacing w:after="60"/>
              <w:jc w:val="both"/>
              <w:rPr>
                <w:rFonts w:ascii="Arial" w:eastAsia="Calibri" w:hAnsi="Arial" w:cs="Arial"/>
                <w:i/>
                <w:noProof/>
                <w:sz w:val="16"/>
                <w:szCs w:val="16"/>
              </w:rPr>
            </w:pPr>
          </w:p>
        </w:tc>
        <w:tc>
          <w:tcPr>
            <w:tcW w:w="410" w:type="pct"/>
            <w:tcBorders>
              <w:top w:val="single" w:sz="4" w:space="0" w:color="auto"/>
              <w:left w:val="single" w:sz="4" w:space="0" w:color="auto"/>
              <w:bottom w:val="single" w:sz="4" w:space="0" w:color="auto"/>
              <w:right w:val="single" w:sz="4" w:space="0" w:color="auto"/>
            </w:tcBorders>
          </w:tcPr>
          <w:p w:rsidR="00FF2EC0" w:rsidRPr="001D50E3" w:rsidRDefault="00FF2EC0" w:rsidP="00754C28">
            <w:pPr>
              <w:spacing w:after="60"/>
              <w:jc w:val="both"/>
              <w:rPr>
                <w:rFonts w:ascii="Arial" w:eastAsia="Calibri" w:hAnsi="Arial" w:cs="Arial"/>
                <w:i/>
                <w:noProof/>
                <w:sz w:val="16"/>
                <w:szCs w:val="16"/>
              </w:rPr>
            </w:pPr>
          </w:p>
        </w:tc>
        <w:tc>
          <w:tcPr>
            <w:tcW w:w="410" w:type="pct"/>
            <w:tcBorders>
              <w:top w:val="single" w:sz="4" w:space="0" w:color="auto"/>
              <w:left w:val="single" w:sz="4" w:space="0" w:color="auto"/>
              <w:bottom w:val="single" w:sz="4" w:space="0" w:color="auto"/>
              <w:right w:val="single" w:sz="4" w:space="0" w:color="auto"/>
            </w:tcBorders>
          </w:tcPr>
          <w:p w:rsidR="00FF2EC0" w:rsidRPr="001D50E3" w:rsidRDefault="00FF2EC0" w:rsidP="00754C28">
            <w:pPr>
              <w:spacing w:after="60"/>
              <w:jc w:val="both"/>
              <w:rPr>
                <w:rFonts w:ascii="Arial" w:eastAsia="Calibri" w:hAnsi="Arial" w:cs="Arial"/>
                <w:i/>
                <w:noProof/>
                <w:sz w:val="16"/>
                <w:szCs w:val="16"/>
              </w:rPr>
            </w:pPr>
          </w:p>
        </w:tc>
        <w:tc>
          <w:tcPr>
            <w:tcW w:w="364" w:type="pct"/>
            <w:tcBorders>
              <w:top w:val="single" w:sz="4" w:space="0" w:color="auto"/>
              <w:left w:val="single" w:sz="4" w:space="0" w:color="auto"/>
              <w:bottom w:val="single" w:sz="4" w:space="0" w:color="auto"/>
              <w:right w:val="single" w:sz="4" w:space="0" w:color="auto"/>
            </w:tcBorders>
          </w:tcPr>
          <w:p w:rsidR="00FF2EC0" w:rsidRPr="001D50E3" w:rsidRDefault="00FF2EC0" w:rsidP="00754C28">
            <w:pPr>
              <w:spacing w:after="60"/>
              <w:jc w:val="both"/>
              <w:rPr>
                <w:rFonts w:ascii="Arial" w:eastAsia="Calibri" w:hAnsi="Arial" w:cs="Arial"/>
                <w:i/>
                <w:noProof/>
                <w:sz w:val="16"/>
                <w:szCs w:val="16"/>
              </w:rPr>
            </w:pPr>
          </w:p>
        </w:tc>
        <w:tc>
          <w:tcPr>
            <w:tcW w:w="410" w:type="pct"/>
            <w:tcBorders>
              <w:top w:val="single" w:sz="4" w:space="0" w:color="auto"/>
              <w:left w:val="single" w:sz="4" w:space="0" w:color="auto"/>
              <w:bottom w:val="single" w:sz="4" w:space="0" w:color="auto"/>
              <w:right w:val="single" w:sz="4" w:space="0" w:color="auto"/>
            </w:tcBorders>
          </w:tcPr>
          <w:p w:rsidR="00FF2EC0" w:rsidRPr="001D50E3" w:rsidRDefault="00FF2EC0" w:rsidP="00754C28">
            <w:pPr>
              <w:spacing w:after="60"/>
              <w:jc w:val="both"/>
              <w:rPr>
                <w:rFonts w:ascii="Arial" w:eastAsia="Calibri" w:hAnsi="Arial" w:cs="Arial"/>
                <w:i/>
                <w:noProof/>
                <w:sz w:val="16"/>
                <w:szCs w:val="16"/>
              </w:rPr>
            </w:pPr>
          </w:p>
        </w:tc>
        <w:tc>
          <w:tcPr>
            <w:tcW w:w="317" w:type="pct"/>
            <w:tcBorders>
              <w:top w:val="single" w:sz="4" w:space="0" w:color="auto"/>
              <w:left w:val="single" w:sz="4" w:space="0" w:color="auto"/>
              <w:bottom w:val="single" w:sz="4" w:space="0" w:color="auto"/>
              <w:right w:val="single" w:sz="4" w:space="0" w:color="auto"/>
            </w:tcBorders>
          </w:tcPr>
          <w:p w:rsidR="00FF2EC0" w:rsidRPr="001D50E3" w:rsidRDefault="00FF2EC0" w:rsidP="00754C28">
            <w:pPr>
              <w:spacing w:after="60"/>
              <w:jc w:val="both"/>
              <w:rPr>
                <w:rFonts w:ascii="Arial" w:eastAsia="Calibri" w:hAnsi="Arial" w:cs="Arial"/>
                <w:i/>
                <w:noProof/>
                <w:sz w:val="16"/>
                <w:szCs w:val="16"/>
              </w:rPr>
            </w:pPr>
          </w:p>
        </w:tc>
        <w:tc>
          <w:tcPr>
            <w:tcW w:w="318" w:type="pct"/>
            <w:tcBorders>
              <w:top w:val="single" w:sz="4" w:space="0" w:color="auto"/>
              <w:left w:val="single" w:sz="4" w:space="0" w:color="auto"/>
              <w:bottom w:val="single" w:sz="4" w:space="0" w:color="auto"/>
              <w:right w:val="single" w:sz="4" w:space="0" w:color="auto"/>
            </w:tcBorders>
          </w:tcPr>
          <w:p w:rsidR="00FF2EC0" w:rsidRPr="001D50E3" w:rsidRDefault="00FF2EC0" w:rsidP="00754C28">
            <w:pPr>
              <w:spacing w:after="60"/>
              <w:jc w:val="both"/>
              <w:rPr>
                <w:rFonts w:ascii="Arial" w:eastAsia="Calibri" w:hAnsi="Arial" w:cs="Arial"/>
                <w:i/>
                <w:noProof/>
                <w:sz w:val="16"/>
                <w:szCs w:val="16"/>
              </w:rPr>
            </w:pPr>
          </w:p>
        </w:tc>
        <w:tc>
          <w:tcPr>
            <w:tcW w:w="308" w:type="pct"/>
            <w:tcBorders>
              <w:top w:val="single" w:sz="4" w:space="0" w:color="auto"/>
              <w:left w:val="single" w:sz="4" w:space="0" w:color="auto"/>
              <w:bottom w:val="single" w:sz="4" w:space="0" w:color="auto"/>
              <w:right w:val="single" w:sz="4" w:space="0" w:color="auto"/>
            </w:tcBorders>
          </w:tcPr>
          <w:p w:rsidR="00FF2EC0" w:rsidRPr="001D50E3" w:rsidRDefault="00FF2EC0" w:rsidP="00754C28">
            <w:pPr>
              <w:spacing w:after="60"/>
              <w:jc w:val="both"/>
              <w:rPr>
                <w:rFonts w:ascii="Arial" w:eastAsia="Calibri" w:hAnsi="Arial" w:cs="Arial"/>
                <w:i/>
                <w:noProof/>
                <w:sz w:val="16"/>
                <w:szCs w:val="16"/>
              </w:rPr>
            </w:pPr>
          </w:p>
        </w:tc>
        <w:tc>
          <w:tcPr>
            <w:tcW w:w="314" w:type="pct"/>
            <w:gridSpan w:val="2"/>
            <w:tcBorders>
              <w:top w:val="single" w:sz="4" w:space="0" w:color="auto"/>
              <w:left w:val="single" w:sz="4" w:space="0" w:color="auto"/>
              <w:bottom w:val="single" w:sz="4" w:space="0" w:color="auto"/>
              <w:right w:val="single" w:sz="4" w:space="0" w:color="auto"/>
            </w:tcBorders>
          </w:tcPr>
          <w:p w:rsidR="00FF2EC0" w:rsidRPr="001D50E3" w:rsidRDefault="00FF2EC0" w:rsidP="00754C28">
            <w:pPr>
              <w:spacing w:after="60"/>
              <w:jc w:val="both"/>
              <w:rPr>
                <w:rFonts w:ascii="Arial" w:eastAsia="Calibri" w:hAnsi="Arial" w:cs="Arial"/>
                <w:i/>
                <w:noProof/>
                <w:sz w:val="16"/>
                <w:szCs w:val="16"/>
              </w:rPr>
            </w:pPr>
          </w:p>
        </w:tc>
      </w:tr>
      <w:tr w:rsidR="00FF2EC0" w:rsidRPr="001D50E3" w:rsidTr="001D50E3">
        <w:tblPrEx>
          <w:jc w:val="left"/>
        </w:tblPrEx>
        <w:trPr>
          <w:gridAfter w:val="1"/>
          <w:wAfter w:w="200" w:type="pct"/>
        </w:trPr>
        <w:tc>
          <w:tcPr>
            <w:tcW w:w="857" w:type="pct"/>
            <w:gridSpan w:val="2"/>
            <w:vMerge/>
            <w:tcBorders>
              <w:top w:val="single" w:sz="4" w:space="0" w:color="auto"/>
              <w:left w:val="single" w:sz="4" w:space="0" w:color="auto"/>
              <w:bottom w:val="single" w:sz="4" w:space="0" w:color="auto"/>
              <w:right w:val="single" w:sz="4" w:space="0" w:color="auto"/>
            </w:tcBorders>
            <w:vAlign w:val="center"/>
            <w:hideMark/>
          </w:tcPr>
          <w:p w:rsidR="00FF2EC0" w:rsidRPr="001D50E3" w:rsidRDefault="00FF2EC0" w:rsidP="00754C28">
            <w:pPr>
              <w:jc w:val="both"/>
              <w:rPr>
                <w:rFonts w:ascii="Arial" w:eastAsia="Calibri" w:hAnsi="Arial" w:cs="Arial"/>
                <w:i/>
                <w:noProof/>
                <w:sz w:val="16"/>
                <w:szCs w:val="16"/>
              </w:rPr>
            </w:pPr>
          </w:p>
        </w:tc>
        <w:tc>
          <w:tcPr>
            <w:tcW w:w="501" w:type="pct"/>
            <w:gridSpan w:val="2"/>
            <w:tcBorders>
              <w:top w:val="single" w:sz="4" w:space="0" w:color="auto"/>
              <w:left w:val="single" w:sz="4" w:space="0" w:color="auto"/>
              <w:bottom w:val="single" w:sz="4" w:space="0" w:color="auto"/>
              <w:right w:val="single" w:sz="4" w:space="0" w:color="auto"/>
            </w:tcBorders>
            <w:hideMark/>
          </w:tcPr>
          <w:p w:rsidR="00FF2EC0" w:rsidRPr="001D50E3" w:rsidRDefault="00FF2EC0" w:rsidP="00754C28">
            <w:pPr>
              <w:spacing w:after="160"/>
              <w:jc w:val="both"/>
              <w:rPr>
                <w:rFonts w:ascii="Arial" w:eastAsia="Calibri" w:hAnsi="Arial" w:cs="Arial"/>
                <w:i/>
                <w:noProof/>
                <w:sz w:val="16"/>
                <w:szCs w:val="16"/>
              </w:rPr>
            </w:pPr>
            <w:r w:rsidRPr="001D50E3">
              <w:rPr>
                <w:rFonts w:ascii="Arial" w:eastAsia="Calibri" w:hAnsi="Arial" w:cs="Arial"/>
                <w:i/>
                <w:noProof/>
                <w:sz w:val="16"/>
                <w:szCs w:val="16"/>
                <w:lang w:val="mk-MK"/>
              </w:rPr>
              <w:t>Интеррег фондови</w:t>
            </w:r>
          </w:p>
        </w:tc>
        <w:tc>
          <w:tcPr>
            <w:tcW w:w="592" w:type="pct"/>
            <w:tcBorders>
              <w:top w:val="single" w:sz="4" w:space="0" w:color="auto"/>
              <w:left w:val="single" w:sz="4" w:space="0" w:color="auto"/>
              <w:bottom w:val="single" w:sz="4" w:space="0" w:color="auto"/>
              <w:right w:val="single" w:sz="4" w:space="0" w:color="auto"/>
            </w:tcBorders>
          </w:tcPr>
          <w:p w:rsidR="00FF2EC0" w:rsidRPr="001D50E3" w:rsidRDefault="00FF2EC0" w:rsidP="00754C28">
            <w:pPr>
              <w:spacing w:after="60"/>
              <w:jc w:val="both"/>
              <w:rPr>
                <w:rFonts w:ascii="Arial" w:eastAsia="Calibri" w:hAnsi="Arial" w:cs="Arial"/>
                <w:i/>
                <w:noProof/>
                <w:sz w:val="16"/>
                <w:szCs w:val="16"/>
              </w:rPr>
            </w:pPr>
          </w:p>
        </w:tc>
        <w:tc>
          <w:tcPr>
            <w:tcW w:w="410" w:type="pct"/>
            <w:tcBorders>
              <w:top w:val="single" w:sz="4" w:space="0" w:color="auto"/>
              <w:left w:val="single" w:sz="4" w:space="0" w:color="auto"/>
              <w:bottom w:val="single" w:sz="4" w:space="0" w:color="auto"/>
              <w:right w:val="single" w:sz="4" w:space="0" w:color="auto"/>
            </w:tcBorders>
          </w:tcPr>
          <w:p w:rsidR="00FF2EC0" w:rsidRPr="001D50E3" w:rsidRDefault="00FF2EC0" w:rsidP="00754C28">
            <w:pPr>
              <w:spacing w:after="60"/>
              <w:jc w:val="both"/>
              <w:rPr>
                <w:rFonts w:ascii="Arial" w:eastAsia="Calibri" w:hAnsi="Arial" w:cs="Arial"/>
                <w:i/>
                <w:noProof/>
                <w:sz w:val="16"/>
                <w:szCs w:val="16"/>
              </w:rPr>
            </w:pPr>
          </w:p>
        </w:tc>
        <w:tc>
          <w:tcPr>
            <w:tcW w:w="410" w:type="pct"/>
            <w:tcBorders>
              <w:top w:val="single" w:sz="4" w:space="0" w:color="auto"/>
              <w:left w:val="single" w:sz="4" w:space="0" w:color="auto"/>
              <w:bottom w:val="single" w:sz="4" w:space="0" w:color="auto"/>
              <w:right w:val="single" w:sz="4" w:space="0" w:color="auto"/>
            </w:tcBorders>
          </w:tcPr>
          <w:p w:rsidR="00FF2EC0" w:rsidRPr="001D50E3" w:rsidRDefault="00FF2EC0" w:rsidP="00754C28">
            <w:pPr>
              <w:spacing w:after="60"/>
              <w:jc w:val="both"/>
              <w:rPr>
                <w:rFonts w:ascii="Arial" w:eastAsia="Calibri" w:hAnsi="Arial" w:cs="Arial"/>
                <w:i/>
                <w:noProof/>
                <w:sz w:val="16"/>
                <w:szCs w:val="16"/>
              </w:rPr>
            </w:pPr>
          </w:p>
        </w:tc>
        <w:tc>
          <w:tcPr>
            <w:tcW w:w="364" w:type="pct"/>
            <w:tcBorders>
              <w:top w:val="single" w:sz="4" w:space="0" w:color="auto"/>
              <w:left w:val="single" w:sz="4" w:space="0" w:color="auto"/>
              <w:bottom w:val="single" w:sz="4" w:space="0" w:color="auto"/>
              <w:right w:val="single" w:sz="4" w:space="0" w:color="auto"/>
            </w:tcBorders>
          </w:tcPr>
          <w:p w:rsidR="00FF2EC0" w:rsidRPr="001D50E3" w:rsidRDefault="00FF2EC0" w:rsidP="00754C28">
            <w:pPr>
              <w:spacing w:after="60"/>
              <w:jc w:val="both"/>
              <w:rPr>
                <w:rFonts w:ascii="Arial" w:eastAsia="Calibri" w:hAnsi="Arial" w:cs="Arial"/>
                <w:i/>
                <w:noProof/>
                <w:sz w:val="16"/>
                <w:szCs w:val="16"/>
              </w:rPr>
            </w:pPr>
          </w:p>
        </w:tc>
        <w:tc>
          <w:tcPr>
            <w:tcW w:w="410" w:type="pct"/>
            <w:tcBorders>
              <w:top w:val="single" w:sz="4" w:space="0" w:color="auto"/>
              <w:left w:val="single" w:sz="4" w:space="0" w:color="auto"/>
              <w:bottom w:val="single" w:sz="4" w:space="0" w:color="auto"/>
              <w:right w:val="single" w:sz="4" w:space="0" w:color="auto"/>
            </w:tcBorders>
          </w:tcPr>
          <w:p w:rsidR="00FF2EC0" w:rsidRPr="001D50E3" w:rsidRDefault="00FF2EC0" w:rsidP="00754C28">
            <w:pPr>
              <w:spacing w:after="60"/>
              <w:jc w:val="both"/>
              <w:rPr>
                <w:rFonts w:ascii="Arial" w:eastAsia="Calibri" w:hAnsi="Arial" w:cs="Arial"/>
                <w:i/>
                <w:noProof/>
                <w:sz w:val="16"/>
                <w:szCs w:val="16"/>
              </w:rPr>
            </w:pPr>
          </w:p>
        </w:tc>
        <w:tc>
          <w:tcPr>
            <w:tcW w:w="317" w:type="pct"/>
            <w:tcBorders>
              <w:top w:val="single" w:sz="4" w:space="0" w:color="auto"/>
              <w:left w:val="single" w:sz="4" w:space="0" w:color="auto"/>
              <w:bottom w:val="single" w:sz="4" w:space="0" w:color="auto"/>
              <w:right w:val="single" w:sz="4" w:space="0" w:color="auto"/>
            </w:tcBorders>
          </w:tcPr>
          <w:p w:rsidR="00FF2EC0" w:rsidRPr="001D50E3" w:rsidRDefault="00FF2EC0" w:rsidP="00754C28">
            <w:pPr>
              <w:spacing w:after="60"/>
              <w:jc w:val="both"/>
              <w:rPr>
                <w:rFonts w:ascii="Arial" w:eastAsia="Calibri" w:hAnsi="Arial" w:cs="Arial"/>
                <w:i/>
                <w:noProof/>
                <w:sz w:val="16"/>
                <w:szCs w:val="16"/>
              </w:rPr>
            </w:pPr>
          </w:p>
        </w:tc>
        <w:tc>
          <w:tcPr>
            <w:tcW w:w="318" w:type="pct"/>
            <w:tcBorders>
              <w:top w:val="single" w:sz="4" w:space="0" w:color="auto"/>
              <w:left w:val="single" w:sz="4" w:space="0" w:color="auto"/>
              <w:bottom w:val="single" w:sz="4" w:space="0" w:color="auto"/>
              <w:right w:val="single" w:sz="4" w:space="0" w:color="auto"/>
            </w:tcBorders>
          </w:tcPr>
          <w:p w:rsidR="00FF2EC0" w:rsidRPr="001D50E3" w:rsidRDefault="00FF2EC0" w:rsidP="00754C28">
            <w:pPr>
              <w:spacing w:after="60"/>
              <w:jc w:val="both"/>
              <w:rPr>
                <w:rFonts w:ascii="Arial" w:eastAsia="Calibri" w:hAnsi="Arial" w:cs="Arial"/>
                <w:i/>
                <w:noProof/>
                <w:sz w:val="16"/>
                <w:szCs w:val="16"/>
              </w:rPr>
            </w:pPr>
          </w:p>
        </w:tc>
        <w:tc>
          <w:tcPr>
            <w:tcW w:w="308" w:type="pct"/>
            <w:tcBorders>
              <w:top w:val="single" w:sz="4" w:space="0" w:color="auto"/>
              <w:left w:val="single" w:sz="4" w:space="0" w:color="auto"/>
              <w:bottom w:val="single" w:sz="4" w:space="0" w:color="auto"/>
              <w:right w:val="single" w:sz="4" w:space="0" w:color="auto"/>
            </w:tcBorders>
          </w:tcPr>
          <w:p w:rsidR="00FF2EC0" w:rsidRPr="001D50E3" w:rsidRDefault="00FF2EC0" w:rsidP="00754C28">
            <w:pPr>
              <w:spacing w:after="60"/>
              <w:jc w:val="both"/>
              <w:rPr>
                <w:rFonts w:ascii="Arial" w:eastAsia="Calibri" w:hAnsi="Arial" w:cs="Arial"/>
                <w:i/>
                <w:noProof/>
                <w:sz w:val="16"/>
                <w:szCs w:val="16"/>
              </w:rPr>
            </w:pPr>
          </w:p>
        </w:tc>
        <w:tc>
          <w:tcPr>
            <w:tcW w:w="314" w:type="pct"/>
            <w:gridSpan w:val="2"/>
            <w:tcBorders>
              <w:top w:val="single" w:sz="4" w:space="0" w:color="auto"/>
              <w:left w:val="single" w:sz="4" w:space="0" w:color="auto"/>
              <w:bottom w:val="single" w:sz="4" w:space="0" w:color="auto"/>
              <w:right w:val="single" w:sz="4" w:space="0" w:color="auto"/>
            </w:tcBorders>
          </w:tcPr>
          <w:p w:rsidR="00FF2EC0" w:rsidRPr="001D50E3" w:rsidRDefault="00FF2EC0" w:rsidP="00754C28">
            <w:pPr>
              <w:spacing w:after="60"/>
              <w:jc w:val="both"/>
              <w:rPr>
                <w:rFonts w:ascii="Arial" w:eastAsia="Calibri" w:hAnsi="Arial" w:cs="Arial"/>
                <w:i/>
                <w:noProof/>
                <w:sz w:val="16"/>
                <w:szCs w:val="16"/>
              </w:rPr>
            </w:pPr>
          </w:p>
        </w:tc>
      </w:tr>
      <w:tr w:rsidR="00FF2EC0" w:rsidRPr="001D50E3" w:rsidTr="001D50E3">
        <w:tblPrEx>
          <w:jc w:val="left"/>
        </w:tblPrEx>
        <w:trPr>
          <w:gridAfter w:val="1"/>
          <w:wAfter w:w="200" w:type="pct"/>
          <w:trHeight w:val="737"/>
        </w:trPr>
        <w:tc>
          <w:tcPr>
            <w:tcW w:w="857" w:type="pct"/>
            <w:gridSpan w:val="2"/>
            <w:tcBorders>
              <w:top w:val="single" w:sz="4" w:space="0" w:color="auto"/>
              <w:left w:val="single" w:sz="4" w:space="0" w:color="auto"/>
              <w:bottom w:val="single" w:sz="4" w:space="0" w:color="auto"/>
              <w:right w:val="single" w:sz="4" w:space="0" w:color="auto"/>
            </w:tcBorders>
            <w:hideMark/>
          </w:tcPr>
          <w:p w:rsidR="00FF2EC0" w:rsidRPr="001D50E3" w:rsidRDefault="00FF2EC0" w:rsidP="00754C28">
            <w:pPr>
              <w:spacing w:after="160"/>
              <w:jc w:val="both"/>
              <w:rPr>
                <w:rFonts w:ascii="Arial" w:eastAsia="Calibri" w:hAnsi="Arial" w:cs="Arial"/>
                <w:i/>
                <w:noProof/>
                <w:sz w:val="16"/>
                <w:szCs w:val="16"/>
              </w:rPr>
            </w:pPr>
            <w:r w:rsidRPr="001D50E3">
              <w:rPr>
                <w:rFonts w:ascii="Arial" w:eastAsia="Calibri" w:hAnsi="Arial" w:cs="Arial"/>
                <w:i/>
                <w:noProof/>
                <w:sz w:val="16"/>
                <w:szCs w:val="16"/>
                <w:lang w:val="mk-MK"/>
              </w:rPr>
              <w:t>Вкупно</w:t>
            </w:r>
          </w:p>
        </w:tc>
        <w:tc>
          <w:tcPr>
            <w:tcW w:w="501" w:type="pct"/>
            <w:gridSpan w:val="2"/>
            <w:tcBorders>
              <w:top w:val="single" w:sz="4" w:space="0" w:color="auto"/>
              <w:left w:val="single" w:sz="4" w:space="0" w:color="auto"/>
              <w:bottom w:val="single" w:sz="4" w:space="0" w:color="auto"/>
              <w:right w:val="single" w:sz="4" w:space="0" w:color="auto"/>
            </w:tcBorders>
            <w:hideMark/>
          </w:tcPr>
          <w:p w:rsidR="00FF2EC0" w:rsidRPr="001D50E3" w:rsidRDefault="00FF2EC0" w:rsidP="00754C28">
            <w:pPr>
              <w:spacing w:after="160"/>
              <w:jc w:val="both"/>
              <w:rPr>
                <w:rFonts w:ascii="Arial" w:eastAsia="Calibri" w:hAnsi="Arial" w:cs="Arial"/>
                <w:i/>
                <w:noProof/>
                <w:sz w:val="16"/>
                <w:szCs w:val="16"/>
              </w:rPr>
            </w:pPr>
            <w:r w:rsidRPr="001D50E3">
              <w:rPr>
                <w:rFonts w:ascii="Arial" w:eastAsia="Calibri" w:hAnsi="Arial" w:cs="Arial"/>
                <w:i/>
                <w:noProof/>
                <w:sz w:val="16"/>
                <w:szCs w:val="16"/>
                <w:lang w:val="mk-MK"/>
              </w:rPr>
              <w:t>Сите фондови</w:t>
            </w:r>
          </w:p>
        </w:tc>
        <w:tc>
          <w:tcPr>
            <w:tcW w:w="592" w:type="pct"/>
            <w:tcBorders>
              <w:top w:val="single" w:sz="4" w:space="0" w:color="auto"/>
              <w:left w:val="single" w:sz="4" w:space="0" w:color="auto"/>
              <w:bottom w:val="single" w:sz="4" w:space="0" w:color="auto"/>
              <w:right w:val="single" w:sz="4" w:space="0" w:color="auto"/>
            </w:tcBorders>
            <w:hideMark/>
          </w:tcPr>
          <w:p w:rsidR="00FF2EC0" w:rsidRPr="001D50E3" w:rsidRDefault="00FF2EC0" w:rsidP="00754C28">
            <w:pPr>
              <w:spacing w:after="60"/>
              <w:jc w:val="both"/>
              <w:rPr>
                <w:rFonts w:ascii="Arial" w:eastAsia="Calibri" w:hAnsi="Arial" w:cs="Arial"/>
                <w:i/>
                <w:noProof/>
                <w:sz w:val="16"/>
                <w:szCs w:val="16"/>
              </w:rPr>
            </w:pPr>
            <w:r w:rsidRPr="001D50E3">
              <w:rPr>
                <w:rFonts w:ascii="Arial" w:eastAsia="Calibri" w:hAnsi="Arial" w:cs="Arial"/>
                <w:i/>
                <w:noProof/>
                <w:sz w:val="16"/>
                <w:szCs w:val="16"/>
                <w:lang w:val="sq-AL"/>
              </w:rPr>
              <w:t>Shpenzimet te pergjtihshme te pranuara</w:t>
            </w:r>
          </w:p>
        </w:tc>
        <w:tc>
          <w:tcPr>
            <w:tcW w:w="410" w:type="pct"/>
            <w:tcBorders>
              <w:top w:val="single" w:sz="4" w:space="0" w:color="auto"/>
              <w:left w:val="single" w:sz="4" w:space="0" w:color="auto"/>
              <w:bottom w:val="single" w:sz="4" w:space="0" w:color="auto"/>
              <w:right w:val="single" w:sz="4" w:space="0" w:color="auto"/>
            </w:tcBorders>
            <w:hideMark/>
          </w:tcPr>
          <w:p w:rsidR="00FF2EC0" w:rsidRPr="001D50E3" w:rsidRDefault="00FF2EC0" w:rsidP="00754C28">
            <w:pPr>
              <w:spacing w:after="60"/>
              <w:jc w:val="both"/>
              <w:rPr>
                <w:rFonts w:ascii="Arial" w:eastAsia="Calibri" w:hAnsi="Arial" w:cs="Arial"/>
                <w:i/>
                <w:noProof/>
                <w:sz w:val="16"/>
                <w:szCs w:val="16"/>
              </w:rPr>
            </w:pPr>
            <w:r w:rsidRPr="001D50E3">
              <w:rPr>
                <w:rFonts w:ascii="Arial" w:eastAsia="Calibri" w:hAnsi="Arial" w:cs="Arial"/>
                <w:i/>
                <w:noProof/>
                <w:sz w:val="16"/>
                <w:szCs w:val="16"/>
              </w:rPr>
              <w:t>26 479 540,00</w:t>
            </w:r>
          </w:p>
        </w:tc>
        <w:tc>
          <w:tcPr>
            <w:tcW w:w="410" w:type="pct"/>
            <w:tcBorders>
              <w:top w:val="single" w:sz="4" w:space="0" w:color="auto"/>
              <w:left w:val="single" w:sz="4" w:space="0" w:color="auto"/>
              <w:bottom w:val="single" w:sz="4" w:space="0" w:color="auto"/>
              <w:right w:val="single" w:sz="4" w:space="0" w:color="auto"/>
            </w:tcBorders>
            <w:hideMark/>
          </w:tcPr>
          <w:p w:rsidR="00FF2EC0" w:rsidRPr="001D50E3" w:rsidRDefault="00FF2EC0" w:rsidP="00754C28">
            <w:pPr>
              <w:spacing w:after="60"/>
              <w:jc w:val="both"/>
              <w:rPr>
                <w:rFonts w:ascii="Arial" w:eastAsia="Calibri" w:hAnsi="Arial" w:cs="Arial"/>
                <w:i/>
                <w:noProof/>
                <w:sz w:val="16"/>
                <w:szCs w:val="16"/>
              </w:rPr>
            </w:pPr>
            <w:r w:rsidRPr="001D50E3">
              <w:rPr>
                <w:rFonts w:ascii="Arial" w:eastAsia="Calibri" w:hAnsi="Arial" w:cs="Arial"/>
                <w:i/>
                <w:noProof/>
                <w:sz w:val="16"/>
                <w:szCs w:val="16"/>
              </w:rPr>
              <w:t>24 072 309,10</w:t>
            </w:r>
          </w:p>
        </w:tc>
        <w:tc>
          <w:tcPr>
            <w:tcW w:w="364" w:type="pct"/>
            <w:tcBorders>
              <w:top w:val="single" w:sz="4" w:space="0" w:color="auto"/>
              <w:left w:val="single" w:sz="4" w:space="0" w:color="auto"/>
              <w:bottom w:val="single" w:sz="4" w:space="0" w:color="auto"/>
              <w:right w:val="single" w:sz="4" w:space="0" w:color="auto"/>
            </w:tcBorders>
            <w:hideMark/>
          </w:tcPr>
          <w:p w:rsidR="00FF2EC0" w:rsidRPr="001D50E3" w:rsidRDefault="00FF2EC0" w:rsidP="00754C28">
            <w:pPr>
              <w:spacing w:after="60"/>
              <w:jc w:val="both"/>
              <w:rPr>
                <w:rFonts w:ascii="Arial" w:eastAsia="Calibri" w:hAnsi="Arial" w:cs="Arial"/>
                <w:i/>
                <w:noProof/>
                <w:sz w:val="16"/>
                <w:szCs w:val="16"/>
              </w:rPr>
            </w:pPr>
            <w:r w:rsidRPr="001D50E3">
              <w:rPr>
                <w:rFonts w:ascii="Arial" w:eastAsia="Calibri" w:hAnsi="Arial" w:cs="Arial"/>
                <w:i/>
                <w:noProof/>
                <w:sz w:val="16"/>
                <w:szCs w:val="16"/>
              </w:rPr>
              <w:t>2 407 230,90</w:t>
            </w:r>
          </w:p>
        </w:tc>
        <w:tc>
          <w:tcPr>
            <w:tcW w:w="410" w:type="pct"/>
            <w:tcBorders>
              <w:top w:val="single" w:sz="4" w:space="0" w:color="auto"/>
              <w:left w:val="single" w:sz="4" w:space="0" w:color="auto"/>
              <w:bottom w:val="single" w:sz="4" w:space="0" w:color="auto"/>
              <w:right w:val="single" w:sz="4" w:space="0" w:color="auto"/>
            </w:tcBorders>
            <w:hideMark/>
          </w:tcPr>
          <w:p w:rsidR="00FF2EC0" w:rsidRPr="001D50E3" w:rsidRDefault="00FF2EC0" w:rsidP="00754C28">
            <w:pPr>
              <w:spacing w:after="60"/>
              <w:jc w:val="both"/>
              <w:rPr>
                <w:rFonts w:ascii="Arial" w:eastAsia="Calibri" w:hAnsi="Arial" w:cs="Arial"/>
                <w:i/>
                <w:noProof/>
                <w:sz w:val="16"/>
                <w:szCs w:val="16"/>
              </w:rPr>
            </w:pPr>
            <w:r w:rsidRPr="001D50E3">
              <w:rPr>
                <w:rFonts w:ascii="Arial" w:eastAsia="Calibri" w:hAnsi="Arial" w:cs="Arial"/>
                <w:i/>
                <w:noProof/>
                <w:sz w:val="16"/>
                <w:szCs w:val="16"/>
              </w:rPr>
              <w:t>4 672 860,05</w:t>
            </w:r>
          </w:p>
        </w:tc>
        <w:tc>
          <w:tcPr>
            <w:tcW w:w="317" w:type="pct"/>
            <w:tcBorders>
              <w:top w:val="single" w:sz="4" w:space="0" w:color="auto"/>
              <w:left w:val="single" w:sz="4" w:space="0" w:color="auto"/>
              <w:bottom w:val="single" w:sz="4" w:space="0" w:color="auto"/>
              <w:right w:val="single" w:sz="4" w:space="0" w:color="auto"/>
            </w:tcBorders>
            <w:hideMark/>
          </w:tcPr>
          <w:p w:rsidR="00FF2EC0" w:rsidRPr="001D50E3" w:rsidRDefault="00FF2EC0" w:rsidP="00754C28">
            <w:pPr>
              <w:spacing w:after="60"/>
              <w:jc w:val="both"/>
              <w:rPr>
                <w:rFonts w:ascii="Arial" w:eastAsia="Calibri" w:hAnsi="Arial" w:cs="Arial"/>
                <w:i/>
                <w:noProof/>
                <w:sz w:val="16"/>
                <w:szCs w:val="16"/>
              </w:rPr>
            </w:pPr>
            <w:r w:rsidRPr="001D50E3">
              <w:rPr>
                <w:rFonts w:ascii="Arial" w:eastAsia="Calibri" w:hAnsi="Arial" w:cs="Arial"/>
                <w:i/>
                <w:noProof/>
                <w:sz w:val="16"/>
                <w:szCs w:val="16"/>
              </w:rPr>
              <w:t>2 336 430,04</w:t>
            </w:r>
          </w:p>
        </w:tc>
        <w:tc>
          <w:tcPr>
            <w:tcW w:w="318" w:type="pct"/>
            <w:tcBorders>
              <w:top w:val="single" w:sz="4" w:space="0" w:color="auto"/>
              <w:left w:val="single" w:sz="4" w:space="0" w:color="auto"/>
              <w:bottom w:val="single" w:sz="4" w:space="0" w:color="auto"/>
              <w:right w:val="single" w:sz="4" w:space="0" w:color="auto"/>
            </w:tcBorders>
            <w:hideMark/>
          </w:tcPr>
          <w:p w:rsidR="00FF2EC0" w:rsidRPr="001D50E3" w:rsidRDefault="00FF2EC0" w:rsidP="00754C28">
            <w:pPr>
              <w:spacing w:after="60"/>
              <w:jc w:val="both"/>
              <w:rPr>
                <w:rFonts w:ascii="Arial" w:eastAsia="Calibri" w:hAnsi="Arial" w:cs="Arial"/>
                <w:i/>
                <w:noProof/>
                <w:sz w:val="16"/>
                <w:szCs w:val="16"/>
              </w:rPr>
            </w:pPr>
            <w:r w:rsidRPr="001D50E3">
              <w:rPr>
                <w:rFonts w:ascii="Arial" w:eastAsia="Calibri" w:hAnsi="Arial" w:cs="Arial"/>
                <w:i/>
                <w:noProof/>
                <w:sz w:val="16"/>
                <w:szCs w:val="16"/>
              </w:rPr>
              <w:t>2 336 430,02</w:t>
            </w:r>
          </w:p>
        </w:tc>
        <w:tc>
          <w:tcPr>
            <w:tcW w:w="308" w:type="pct"/>
            <w:tcBorders>
              <w:top w:val="single" w:sz="4" w:space="0" w:color="auto"/>
              <w:left w:val="single" w:sz="4" w:space="0" w:color="auto"/>
              <w:bottom w:val="single" w:sz="4" w:space="0" w:color="auto"/>
              <w:right w:val="single" w:sz="4" w:space="0" w:color="auto"/>
            </w:tcBorders>
            <w:hideMark/>
          </w:tcPr>
          <w:p w:rsidR="00FF2EC0" w:rsidRPr="001D50E3" w:rsidRDefault="00FF2EC0" w:rsidP="00754C28">
            <w:pPr>
              <w:spacing w:after="60"/>
              <w:jc w:val="both"/>
              <w:rPr>
                <w:rFonts w:ascii="Arial" w:eastAsia="Calibri" w:hAnsi="Arial" w:cs="Arial"/>
                <w:i/>
                <w:noProof/>
                <w:sz w:val="16"/>
                <w:szCs w:val="16"/>
              </w:rPr>
            </w:pPr>
            <w:r w:rsidRPr="001D50E3">
              <w:rPr>
                <w:rFonts w:ascii="Arial" w:eastAsia="Calibri" w:hAnsi="Arial" w:cs="Arial"/>
                <w:i/>
                <w:noProof/>
                <w:sz w:val="16"/>
                <w:szCs w:val="16"/>
              </w:rPr>
              <w:t>31 152 400,05</w:t>
            </w:r>
          </w:p>
        </w:tc>
        <w:tc>
          <w:tcPr>
            <w:tcW w:w="314" w:type="pct"/>
            <w:gridSpan w:val="2"/>
            <w:tcBorders>
              <w:top w:val="single" w:sz="4" w:space="0" w:color="auto"/>
              <w:left w:val="single" w:sz="4" w:space="0" w:color="auto"/>
              <w:bottom w:val="single" w:sz="4" w:space="0" w:color="auto"/>
              <w:right w:val="single" w:sz="4" w:space="0" w:color="auto"/>
            </w:tcBorders>
            <w:hideMark/>
          </w:tcPr>
          <w:p w:rsidR="00FF2EC0" w:rsidRPr="001D50E3" w:rsidRDefault="00FF2EC0" w:rsidP="00754C28">
            <w:pPr>
              <w:spacing w:after="60"/>
              <w:jc w:val="both"/>
              <w:rPr>
                <w:rFonts w:ascii="Arial" w:eastAsia="Calibri" w:hAnsi="Arial" w:cs="Arial"/>
                <w:i/>
                <w:noProof/>
                <w:sz w:val="16"/>
                <w:szCs w:val="16"/>
              </w:rPr>
            </w:pPr>
            <w:r w:rsidRPr="001D50E3">
              <w:rPr>
                <w:rFonts w:ascii="Arial" w:eastAsia="Calibri" w:hAnsi="Arial" w:cs="Arial"/>
                <w:i/>
                <w:noProof/>
                <w:sz w:val="16"/>
                <w:szCs w:val="16"/>
              </w:rPr>
              <w:t>0,85</w:t>
            </w:r>
          </w:p>
        </w:tc>
      </w:tr>
      <w:tr w:rsidR="00FF2EC0" w:rsidRPr="001D50E3" w:rsidTr="001D50E3">
        <w:tblPrEx>
          <w:jc w:val="left"/>
        </w:tblPrEx>
        <w:trPr>
          <w:gridAfter w:val="1"/>
          <w:wAfter w:w="200" w:type="pct"/>
        </w:trPr>
        <w:tc>
          <w:tcPr>
            <w:tcW w:w="857" w:type="pct"/>
            <w:gridSpan w:val="2"/>
            <w:tcBorders>
              <w:top w:val="single" w:sz="4" w:space="0" w:color="auto"/>
              <w:left w:val="single" w:sz="4" w:space="0" w:color="auto"/>
              <w:bottom w:val="single" w:sz="4" w:space="0" w:color="auto"/>
              <w:right w:val="single" w:sz="4" w:space="0" w:color="auto"/>
            </w:tcBorders>
          </w:tcPr>
          <w:p w:rsidR="00FF2EC0" w:rsidRPr="001D50E3" w:rsidRDefault="00FF2EC0" w:rsidP="00754C28">
            <w:pPr>
              <w:spacing w:after="160"/>
              <w:jc w:val="both"/>
              <w:rPr>
                <w:rFonts w:ascii="Arial" w:eastAsia="Calibri" w:hAnsi="Arial" w:cs="Arial"/>
                <w:i/>
                <w:noProof/>
                <w:sz w:val="16"/>
                <w:szCs w:val="16"/>
              </w:rPr>
            </w:pPr>
          </w:p>
        </w:tc>
        <w:tc>
          <w:tcPr>
            <w:tcW w:w="501" w:type="pct"/>
            <w:gridSpan w:val="2"/>
            <w:tcBorders>
              <w:top w:val="single" w:sz="4" w:space="0" w:color="auto"/>
              <w:left w:val="single" w:sz="4" w:space="0" w:color="auto"/>
              <w:bottom w:val="single" w:sz="4" w:space="0" w:color="auto"/>
              <w:right w:val="single" w:sz="4" w:space="0" w:color="auto"/>
            </w:tcBorders>
            <w:hideMark/>
          </w:tcPr>
          <w:p w:rsidR="00FF2EC0" w:rsidRPr="001D50E3" w:rsidRDefault="00FF2EC0" w:rsidP="00754C28">
            <w:pPr>
              <w:spacing w:after="160"/>
              <w:jc w:val="both"/>
              <w:rPr>
                <w:rFonts w:ascii="Arial" w:eastAsia="Calibri" w:hAnsi="Arial" w:cs="Arial"/>
                <w:i/>
                <w:noProof/>
                <w:sz w:val="16"/>
                <w:szCs w:val="16"/>
              </w:rPr>
            </w:pPr>
            <w:r w:rsidRPr="001D50E3">
              <w:rPr>
                <w:rFonts w:ascii="Arial" w:eastAsia="Calibri" w:hAnsi="Arial" w:cs="Arial"/>
                <w:i/>
                <w:noProof/>
                <w:sz w:val="16"/>
                <w:szCs w:val="16"/>
                <w:lang w:val="mk-MK"/>
              </w:rPr>
              <w:t>ЕРФР</w:t>
            </w:r>
          </w:p>
        </w:tc>
        <w:tc>
          <w:tcPr>
            <w:tcW w:w="592" w:type="pct"/>
            <w:tcBorders>
              <w:top w:val="single" w:sz="4" w:space="0" w:color="auto"/>
              <w:left w:val="single" w:sz="4" w:space="0" w:color="auto"/>
              <w:bottom w:val="single" w:sz="4" w:space="0" w:color="auto"/>
              <w:right w:val="single" w:sz="4" w:space="0" w:color="auto"/>
            </w:tcBorders>
            <w:hideMark/>
          </w:tcPr>
          <w:p w:rsidR="00FF2EC0" w:rsidRPr="001D50E3" w:rsidRDefault="00FF2EC0" w:rsidP="00754C28">
            <w:pPr>
              <w:spacing w:after="60"/>
              <w:jc w:val="both"/>
              <w:rPr>
                <w:rFonts w:ascii="Arial" w:eastAsia="Calibri" w:hAnsi="Arial" w:cs="Arial"/>
                <w:i/>
                <w:noProof/>
                <w:sz w:val="16"/>
                <w:szCs w:val="16"/>
              </w:rPr>
            </w:pPr>
            <w:r w:rsidRPr="001D50E3">
              <w:rPr>
                <w:rFonts w:ascii="Arial" w:eastAsia="Calibri" w:hAnsi="Arial" w:cs="Arial"/>
                <w:i/>
                <w:noProof/>
                <w:sz w:val="16"/>
                <w:szCs w:val="16"/>
                <w:lang w:val="sq-AL"/>
              </w:rPr>
              <w:t>Shpenzimet te pergjtihshme te pranuara</w:t>
            </w:r>
          </w:p>
        </w:tc>
        <w:tc>
          <w:tcPr>
            <w:tcW w:w="410" w:type="pct"/>
            <w:tcBorders>
              <w:top w:val="single" w:sz="4" w:space="0" w:color="auto"/>
              <w:left w:val="single" w:sz="4" w:space="0" w:color="auto"/>
              <w:bottom w:val="single" w:sz="4" w:space="0" w:color="auto"/>
              <w:right w:val="single" w:sz="4" w:space="0" w:color="auto"/>
            </w:tcBorders>
            <w:hideMark/>
          </w:tcPr>
          <w:p w:rsidR="00FF2EC0" w:rsidRPr="001D50E3" w:rsidRDefault="00FF2EC0" w:rsidP="00754C28">
            <w:pPr>
              <w:spacing w:after="60"/>
              <w:jc w:val="both"/>
              <w:rPr>
                <w:rFonts w:ascii="Arial" w:eastAsia="Calibri" w:hAnsi="Arial" w:cs="Arial"/>
                <w:i/>
                <w:noProof/>
                <w:sz w:val="16"/>
                <w:szCs w:val="16"/>
              </w:rPr>
            </w:pPr>
            <w:r w:rsidRPr="001D50E3">
              <w:rPr>
                <w:rFonts w:ascii="Arial" w:eastAsia="Calibri" w:hAnsi="Arial" w:cs="Arial"/>
                <w:i/>
                <w:noProof/>
                <w:sz w:val="16"/>
                <w:szCs w:val="16"/>
              </w:rPr>
              <w:t>12 916 849,00</w:t>
            </w:r>
          </w:p>
        </w:tc>
        <w:tc>
          <w:tcPr>
            <w:tcW w:w="410" w:type="pct"/>
            <w:tcBorders>
              <w:top w:val="single" w:sz="4" w:space="0" w:color="auto"/>
              <w:left w:val="single" w:sz="4" w:space="0" w:color="auto"/>
              <w:bottom w:val="single" w:sz="4" w:space="0" w:color="auto"/>
              <w:right w:val="single" w:sz="4" w:space="0" w:color="auto"/>
            </w:tcBorders>
            <w:hideMark/>
          </w:tcPr>
          <w:p w:rsidR="00FF2EC0" w:rsidRPr="001D50E3" w:rsidRDefault="00FF2EC0" w:rsidP="00754C28">
            <w:pPr>
              <w:spacing w:after="60"/>
              <w:jc w:val="both"/>
              <w:rPr>
                <w:rFonts w:ascii="Arial" w:eastAsia="Calibri" w:hAnsi="Arial" w:cs="Arial"/>
                <w:i/>
                <w:noProof/>
                <w:sz w:val="16"/>
                <w:szCs w:val="16"/>
              </w:rPr>
            </w:pPr>
            <w:r w:rsidRPr="001D50E3">
              <w:rPr>
                <w:rFonts w:ascii="Arial" w:eastAsia="Calibri" w:hAnsi="Arial" w:cs="Arial"/>
                <w:i/>
                <w:noProof/>
                <w:sz w:val="16"/>
                <w:szCs w:val="16"/>
              </w:rPr>
              <w:t>11 742 590,00</w:t>
            </w:r>
          </w:p>
        </w:tc>
        <w:tc>
          <w:tcPr>
            <w:tcW w:w="364" w:type="pct"/>
            <w:tcBorders>
              <w:top w:val="single" w:sz="4" w:space="0" w:color="auto"/>
              <w:left w:val="single" w:sz="4" w:space="0" w:color="auto"/>
              <w:bottom w:val="single" w:sz="4" w:space="0" w:color="auto"/>
              <w:right w:val="single" w:sz="4" w:space="0" w:color="auto"/>
            </w:tcBorders>
            <w:hideMark/>
          </w:tcPr>
          <w:p w:rsidR="00FF2EC0" w:rsidRPr="001D50E3" w:rsidRDefault="00FF2EC0" w:rsidP="00754C28">
            <w:pPr>
              <w:spacing w:after="60"/>
              <w:jc w:val="both"/>
              <w:rPr>
                <w:rFonts w:ascii="Arial" w:eastAsia="Calibri" w:hAnsi="Arial" w:cs="Arial"/>
                <w:i/>
                <w:noProof/>
                <w:sz w:val="16"/>
                <w:szCs w:val="16"/>
              </w:rPr>
            </w:pPr>
            <w:r w:rsidRPr="001D50E3">
              <w:rPr>
                <w:rFonts w:ascii="Arial" w:eastAsia="Calibri" w:hAnsi="Arial" w:cs="Arial"/>
                <w:i/>
                <w:noProof/>
                <w:sz w:val="16"/>
                <w:szCs w:val="16"/>
              </w:rPr>
              <w:t>1 174 259,00</w:t>
            </w:r>
          </w:p>
        </w:tc>
        <w:tc>
          <w:tcPr>
            <w:tcW w:w="410" w:type="pct"/>
            <w:tcBorders>
              <w:top w:val="single" w:sz="4" w:space="0" w:color="auto"/>
              <w:left w:val="single" w:sz="4" w:space="0" w:color="auto"/>
              <w:bottom w:val="single" w:sz="4" w:space="0" w:color="auto"/>
              <w:right w:val="single" w:sz="4" w:space="0" w:color="auto"/>
            </w:tcBorders>
            <w:hideMark/>
          </w:tcPr>
          <w:p w:rsidR="00FF2EC0" w:rsidRPr="001D50E3" w:rsidRDefault="00FF2EC0" w:rsidP="00754C28">
            <w:pPr>
              <w:spacing w:after="60"/>
              <w:jc w:val="both"/>
              <w:rPr>
                <w:rFonts w:ascii="Arial" w:eastAsia="Calibri" w:hAnsi="Arial" w:cs="Arial"/>
                <w:i/>
                <w:noProof/>
                <w:sz w:val="16"/>
                <w:szCs w:val="16"/>
              </w:rPr>
            </w:pPr>
            <w:r w:rsidRPr="001D50E3">
              <w:rPr>
                <w:rFonts w:ascii="Arial" w:eastAsia="Calibri" w:hAnsi="Arial" w:cs="Arial"/>
                <w:i/>
                <w:noProof/>
                <w:sz w:val="16"/>
                <w:szCs w:val="16"/>
              </w:rPr>
              <w:t>2 279 443,96</w:t>
            </w:r>
          </w:p>
        </w:tc>
        <w:tc>
          <w:tcPr>
            <w:tcW w:w="317" w:type="pct"/>
            <w:tcBorders>
              <w:top w:val="single" w:sz="4" w:space="0" w:color="auto"/>
              <w:left w:val="single" w:sz="4" w:space="0" w:color="auto"/>
              <w:bottom w:val="single" w:sz="4" w:space="0" w:color="auto"/>
              <w:right w:val="single" w:sz="4" w:space="0" w:color="auto"/>
            </w:tcBorders>
            <w:hideMark/>
          </w:tcPr>
          <w:p w:rsidR="00FF2EC0" w:rsidRPr="001D50E3" w:rsidRDefault="00FF2EC0" w:rsidP="00754C28">
            <w:pPr>
              <w:spacing w:after="60"/>
              <w:jc w:val="both"/>
              <w:rPr>
                <w:rFonts w:ascii="Arial" w:eastAsia="Calibri" w:hAnsi="Arial" w:cs="Arial"/>
                <w:i/>
                <w:noProof/>
                <w:sz w:val="16"/>
                <w:szCs w:val="16"/>
              </w:rPr>
            </w:pPr>
            <w:r w:rsidRPr="001D50E3">
              <w:rPr>
                <w:rFonts w:ascii="Arial" w:eastAsia="Calibri" w:hAnsi="Arial" w:cs="Arial"/>
                <w:i/>
                <w:noProof/>
                <w:sz w:val="16"/>
                <w:szCs w:val="16"/>
              </w:rPr>
              <w:t>1 139 721,99</w:t>
            </w:r>
          </w:p>
        </w:tc>
        <w:tc>
          <w:tcPr>
            <w:tcW w:w="318" w:type="pct"/>
            <w:tcBorders>
              <w:top w:val="single" w:sz="4" w:space="0" w:color="auto"/>
              <w:left w:val="single" w:sz="4" w:space="0" w:color="auto"/>
              <w:bottom w:val="single" w:sz="4" w:space="0" w:color="auto"/>
              <w:right w:val="single" w:sz="4" w:space="0" w:color="auto"/>
            </w:tcBorders>
            <w:hideMark/>
          </w:tcPr>
          <w:p w:rsidR="00FF2EC0" w:rsidRPr="001D50E3" w:rsidRDefault="00FF2EC0" w:rsidP="00754C28">
            <w:pPr>
              <w:spacing w:after="60"/>
              <w:jc w:val="both"/>
              <w:rPr>
                <w:rFonts w:ascii="Arial" w:eastAsia="Calibri" w:hAnsi="Arial" w:cs="Arial"/>
                <w:i/>
                <w:noProof/>
                <w:sz w:val="16"/>
                <w:szCs w:val="16"/>
              </w:rPr>
            </w:pPr>
            <w:r w:rsidRPr="001D50E3">
              <w:rPr>
                <w:rFonts w:ascii="Arial" w:eastAsia="Calibri" w:hAnsi="Arial" w:cs="Arial"/>
                <w:i/>
                <w:noProof/>
                <w:sz w:val="16"/>
                <w:szCs w:val="16"/>
              </w:rPr>
              <w:t>1 139 721,97</w:t>
            </w:r>
          </w:p>
        </w:tc>
        <w:tc>
          <w:tcPr>
            <w:tcW w:w="308" w:type="pct"/>
            <w:tcBorders>
              <w:top w:val="single" w:sz="4" w:space="0" w:color="auto"/>
              <w:left w:val="single" w:sz="4" w:space="0" w:color="auto"/>
              <w:bottom w:val="single" w:sz="4" w:space="0" w:color="auto"/>
              <w:right w:val="single" w:sz="4" w:space="0" w:color="auto"/>
            </w:tcBorders>
            <w:hideMark/>
          </w:tcPr>
          <w:p w:rsidR="00FF2EC0" w:rsidRPr="001D50E3" w:rsidRDefault="00FF2EC0" w:rsidP="00754C28">
            <w:pPr>
              <w:spacing w:after="60"/>
              <w:jc w:val="both"/>
              <w:rPr>
                <w:rFonts w:ascii="Arial" w:eastAsia="Calibri" w:hAnsi="Arial" w:cs="Arial"/>
                <w:i/>
                <w:noProof/>
                <w:sz w:val="16"/>
                <w:szCs w:val="16"/>
              </w:rPr>
            </w:pPr>
            <w:r w:rsidRPr="001D50E3">
              <w:rPr>
                <w:rFonts w:ascii="Arial" w:eastAsia="Calibri" w:hAnsi="Arial" w:cs="Arial"/>
                <w:i/>
                <w:noProof/>
                <w:sz w:val="16"/>
                <w:szCs w:val="16"/>
              </w:rPr>
              <w:t>15 196 292,96</w:t>
            </w:r>
          </w:p>
        </w:tc>
        <w:tc>
          <w:tcPr>
            <w:tcW w:w="314" w:type="pct"/>
            <w:gridSpan w:val="2"/>
            <w:tcBorders>
              <w:top w:val="single" w:sz="4" w:space="0" w:color="auto"/>
              <w:left w:val="single" w:sz="4" w:space="0" w:color="auto"/>
              <w:bottom w:val="single" w:sz="4" w:space="0" w:color="auto"/>
              <w:right w:val="single" w:sz="4" w:space="0" w:color="auto"/>
            </w:tcBorders>
            <w:hideMark/>
          </w:tcPr>
          <w:p w:rsidR="00FF2EC0" w:rsidRPr="001D50E3" w:rsidRDefault="00FF2EC0" w:rsidP="00754C28">
            <w:pPr>
              <w:spacing w:after="60"/>
              <w:jc w:val="both"/>
              <w:rPr>
                <w:rFonts w:ascii="Arial" w:eastAsia="Calibri" w:hAnsi="Arial" w:cs="Arial"/>
                <w:i/>
                <w:noProof/>
                <w:sz w:val="16"/>
                <w:szCs w:val="16"/>
              </w:rPr>
            </w:pPr>
            <w:r w:rsidRPr="001D50E3">
              <w:rPr>
                <w:rFonts w:ascii="Arial" w:eastAsia="Calibri" w:hAnsi="Arial" w:cs="Arial"/>
                <w:i/>
                <w:noProof/>
                <w:sz w:val="16"/>
                <w:szCs w:val="16"/>
              </w:rPr>
              <w:t>0,85</w:t>
            </w:r>
          </w:p>
        </w:tc>
      </w:tr>
      <w:tr w:rsidR="00FF2EC0" w:rsidRPr="001D50E3" w:rsidTr="001D50E3">
        <w:tblPrEx>
          <w:jc w:val="left"/>
        </w:tblPrEx>
        <w:trPr>
          <w:gridAfter w:val="1"/>
          <w:wAfter w:w="200" w:type="pct"/>
        </w:trPr>
        <w:tc>
          <w:tcPr>
            <w:tcW w:w="857" w:type="pct"/>
            <w:gridSpan w:val="2"/>
            <w:tcBorders>
              <w:top w:val="single" w:sz="4" w:space="0" w:color="auto"/>
              <w:left w:val="single" w:sz="4" w:space="0" w:color="auto"/>
              <w:bottom w:val="single" w:sz="4" w:space="0" w:color="auto"/>
              <w:right w:val="single" w:sz="4" w:space="0" w:color="auto"/>
            </w:tcBorders>
          </w:tcPr>
          <w:p w:rsidR="00FF2EC0" w:rsidRPr="001D50E3" w:rsidRDefault="00FF2EC0" w:rsidP="00754C28">
            <w:pPr>
              <w:spacing w:after="160"/>
              <w:jc w:val="both"/>
              <w:rPr>
                <w:rFonts w:ascii="Arial" w:eastAsia="Calibri" w:hAnsi="Arial" w:cs="Arial"/>
                <w:i/>
                <w:noProof/>
                <w:sz w:val="16"/>
                <w:szCs w:val="16"/>
              </w:rPr>
            </w:pPr>
          </w:p>
        </w:tc>
        <w:tc>
          <w:tcPr>
            <w:tcW w:w="501" w:type="pct"/>
            <w:gridSpan w:val="2"/>
            <w:tcBorders>
              <w:top w:val="single" w:sz="4" w:space="0" w:color="auto"/>
              <w:left w:val="single" w:sz="4" w:space="0" w:color="auto"/>
              <w:bottom w:val="single" w:sz="4" w:space="0" w:color="auto"/>
              <w:right w:val="single" w:sz="4" w:space="0" w:color="auto"/>
            </w:tcBorders>
            <w:hideMark/>
          </w:tcPr>
          <w:p w:rsidR="00FF2EC0" w:rsidRPr="001D50E3" w:rsidRDefault="00FF2EC0" w:rsidP="00754C28">
            <w:pPr>
              <w:spacing w:after="160"/>
              <w:jc w:val="both"/>
              <w:rPr>
                <w:rFonts w:ascii="Arial" w:eastAsia="Calibri" w:hAnsi="Arial" w:cs="Arial"/>
                <w:i/>
                <w:noProof/>
                <w:sz w:val="16"/>
                <w:szCs w:val="16"/>
              </w:rPr>
            </w:pPr>
            <w:r w:rsidRPr="001D50E3">
              <w:rPr>
                <w:rFonts w:ascii="Arial" w:eastAsia="Calibri" w:hAnsi="Arial" w:cs="Arial"/>
                <w:noProof/>
                <w:sz w:val="16"/>
                <w:szCs w:val="16"/>
                <w:lang w:val="mk-MK"/>
              </w:rPr>
              <w:t>ИПА</w:t>
            </w:r>
            <w:r w:rsidRPr="001D50E3">
              <w:rPr>
                <w:rFonts w:ascii="Arial" w:eastAsia="Calibri" w:hAnsi="Arial" w:cs="Arial"/>
                <w:noProof/>
                <w:sz w:val="16"/>
                <w:szCs w:val="16"/>
              </w:rPr>
              <w:t> </w:t>
            </w:r>
            <w:r w:rsidRPr="001D50E3">
              <w:rPr>
                <w:rFonts w:ascii="Arial" w:eastAsia="Calibri" w:hAnsi="Arial" w:cs="Arial"/>
                <w:i/>
                <w:noProof/>
                <w:sz w:val="16"/>
                <w:szCs w:val="16"/>
              </w:rPr>
              <w:t>III ПГС</w:t>
            </w:r>
          </w:p>
        </w:tc>
        <w:tc>
          <w:tcPr>
            <w:tcW w:w="592" w:type="pct"/>
            <w:tcBorders>
              <w:top w:val="single" w:sz="4" w:space="0" w:color="auto"/>
              <w:left w:val="single" w:sz="4" w:space="0" w:color="auto"/>
              <w:bottom w:val="single" w:sz="4" w:space="0" w:color="auto"/>
              <w:right w:val="single" w:sz="4" w:space="0" w:color="auto"/>
            </w:tcBorders>
            <w:hideMark/>
          </w:tcPr>
          <w:p w:rsidR="00FF2EC0" w:rsidRPr="001D50E3" w:rsidRDefault="00FF2EC0" w:rsidP="00754C28">
            <w:pPr>
              <w:spacing w:after="60"/>
              <w:jc w:val="both"/>
              <w:rPr>
                <w:rFonts w:ascii="Arial" w:eastAsia="Calibri" w:hAnsi="Arial" w:cs="Arial"/>
                <w:i/>
                <w:noProof/>
                <w:sz w:val="16"/>
                <w:szCs w:val="16"/>
              </w:rPr>
            </w:pPr>
            <w:r w:rsidRPr="001D50E3">
              <w:rPr>
                <w:rFonts w:ascii="Arial" w:eastAsia="Calibri" w:hAnsi="Arial" w:cs="Arial"/>
                <w:i/>
                <w:noProof/>
                <w:sz w:val="16"/>
                <w:szCs w:val="16"/>
                <w:lang w:val="sq-AL"/>
              </w:rPr>
              <w:t>Shpenzimet te pergjtihshme te pranuara</w:t>
            </w:r>
          </w:p>
        </w:tc>
        <w:tc>
          <w:tcPr>
            <w:tcW w:w="410" w:type="pct"/>
            <w:tcBorders>
              <w:top w:val="single" w:sz="4" w:space="0" w:color="auto"/>
              <w:left w:val="single" w:sz="4" w:space="0" w:color="auto"/>
              <w:bottom w:val="single" w:sz="4" w:space="0" w:color="auto"/>
              <w:right w:val="single" w:sz="4" w:space="0" w:color="auto"/>
            </w:tcBorders>
            <w:hideMark/>
          </w:tcPr>
          <w:p w:rsidR="00FF2EC0" w:rsidRPr="001D50E3" w:rsidRDefault="00FF2EC0" w:rsidP="00754C28">
            <w:pPr>
              <w:spacing w:after="60"/>
              <w:jc w:val="both"/>
              <w:rPr>
                <w:rFonts w:ascii="Arial" w:eastAsia="Calibri" w:hAnsi="Arial" w:cs="Arial"/>
                <w:i/>
                <w:noProof/>
                <w:sz w:val="16"/>
                <w:szCs w:val="16"/>
              </w:rPr>
            </w:pPr>
            <w:r w:rsidRPr="001D50E3">
              <w:rPr>
                <w:rFonts w:ascii="Arial" w:eastAsia="Calibri" w:hAnsi="Arial" w:cs="Arial"/>
                <w:i/>
                <w:noProof/>
                <w:sz w:val="16"/>
                <w:szCs w:val="16"/>
              </w:rPr>
              <w:t>13 562 691,00</w:t>
            </w:r>
          </w:p>
        </w:tc>
        <w:tc>
          <w:tcPr>
            <w:tcW w:w="410" w:type="pct"/>
            <w:tcBorders>
              <w:top w:val="single" w:sz="4" w:space="0" w:color="auto"/>
              <w:left w:val="single" w:sz="4" w:space="0" w:color="auto"/>
              <w:bottom w:val="single" w:sz="4" w:space="0" w:color="auto"/>
              <w:right w:val="single" w:sz="4" w:space="0" w:color="auto"/>
            </w:tcBorders>
            <w:hideMark/>
          </w:tcPr>
          <w:p w:rsidR="00FF2EC0" w:rsidRPr="001D50E3" w:rsidRDefault="00FF2EC0" w:rsidP="00754C28">
            <w:pPr>
              <w:spacing w:after="60"/>
              <w:jc w:val="both"/>
              <w:rPr>
                <w:rFonts w:ascii="Arial" w:eastAsia="Calibri" w:hAnsi="Arial" w:cs="Arial"/>
                <w:i/>
                <w:noProof/>
                <w:sz w:val="16"/>
                <w:szCs w:val="16"/>
              </w:rPr>
            </w:pPr>
            <w:r w:rsidRPr="001D50E3">
              <w:rPr>
                <w:rFonts w:ascii="Arial" w:eastAsia="Calibri" w:hAnsi="Arial" w:cs="Arial"/>
                <w:i/>
                <w:noProof/>
                <w:sz w:val="16"/>
                <w:szCs w:val="16"/>
              </w:rPr>
              <w:t>12 329 719,10</w:t>
            </w:r>
          </w:p>
        </w:tc>
        <w:tc>
          <w:tcPr>
            <w:tcW w:w="364" w:type="pct"/>
            <w:tcBorders>
              <w:top w:val="single" w:sz="4" w:space="0" w:color="auto"/>
              <w:left w:val="single" w:sz="4" w:space="0" w:color="auto"/>
              <w:bottom w:val="single" w:sz="4" w:space="0" w:color="auto"/>
              <w:right w:val="single" w:sz="4" w:space="0" w:color="auto"/>
            </w:tcBorders>
            <w:hideMark/>
          </w:tcPr>
          <w:p w:rsidR="00FF2EC0" w:rsidRPr="001D50E3" w:rsidRDefault="00FF2EC0" w:rsidP="00754C28">
            <w:pPr>
              <w:spacing w:after="60"/>
              <w:jc w:val="both"/>
              <w:rPr>
                <w:rFonts w:ascii="Arial" w:eastAsia="Calibri" w:hAnsi="Arial" w:cs="Arial"/>
                <w:i/>
                <w:noProof/>
                <w:sz w:val="16"/>
                <w:szCs w:val="16"/>
              </w:rPr>
            </w:pPr>
            <w:r w:rsidRPr="001D50E3">
              <w:rPr>
                <w:rFonts w:ascii="Arial" w:eastAsia="Calibri" w:hAnsi="Arial" w:cs="Arial"/>
                <w:i/>
                <w:noProof/>
                <w:sz w:val="16"/>
                <w:szCs w:val="16"/>
              </w:rPr>
              <w:t>1 232 971,90</w:t>
            </w:r>
          </w:p>
        </w:tc>
        <w:tc>
          <w:tcPr>
            <w:tcW w:w="410" w:type="pct"/>
            <w:tcBorders>
              <w:top w:val="single" w:sz="4" w:space="0" w:color="auto"/>
              <w:left w:val="single" w:sz="4" w:space="0" w:color="auto"/>
              <w:bottom w:val="single" w:sz="4" w:space="0" w:color="auto"/>
              <w:right w:val="single" w:sz="4" w:space="0" w:color="auto"/>
            </w:tcBorders>
            <w:hideMark/>
          </w:tcPr>
          <w:p w:rsidR="00FF2EC0" w:rsidRPr="001D50E3" w:rsidRDefault="00FF2EC0" w:rsidP="00754C28">
            <w:pPr>
              <w:spacing w:after="60"/>
              <w:jc w:val="both"/>
              <w:rPr>
                <w:rFonts w:ascii="Arial" w:eastAsia="Calibri" w:hAnsi="Arial" w:cs="Arial"/>
                <w:i/>
                <w:noProof/>
                <w:sz w:val="16"/>
                <w:szCs w:val="16"/>
              </w:rPr>
            </w:pPr>
            <w:r w:rsidRPr="001D50E3">
              <w:rPr>
                <w:rFonts w:ascii="Arial" w:eastAsia="Calibri" w:hAnsi="Arial" w:cs="Arial"/>
                <w:i/>
                <w:noProof/>
                <w:sz w:val="16"/>
                <w:szCs w:val="16"/>
              </w:rPr>
              <w:t>2 393 416,09</w:t>
            </w:r>
          </w:p>
        </w:tc>
        <w:tc>
          <w:tcPr>
            <w:tcW w:w="317" w:type="pct"/>
            <w:tcBorders>
              <w:top w:val="single" w:sz="4" w:space="0" w:color="auto"/>
              <w:left w:val="single" w:sz="4" w:space="0" w:color="auto"/>
              <w:bottom w:val="single" w:sz="4" w:space="0" w:color="auto"/>
              <w:right w:val="single" w:sz="4" w:space="0" w:color="auto"/>
            </w:tcBorders>
            <w:hideMark/>
          </w:tcPr>
          <w:p w:rsidR="00FF2EC0" w:rsidRPr="001D50E3" w:rsidRDefault="00FF2EC0" w:rsidP="00754C28">
            <w:pPr>
              <w:spacing w:after="60"/>
              <w:jc w:val="both"/>
              <w:rPr>
                <w:rFonts w:ascii="Arial" w:eastAsia="Calibri" w:hAnsi="Arial" w:cs="Arial"/>
                <w:i/>
                <w:noProof/>
                <w:sz w:val="16"/>
                <w:szCs w:val="16"/>
              </w:rPr>
            </w:pPr>
            <w:r w:rsidRPr="001D50E3">
              <w:rPr>
                <w:rFonts w:ascii="Arial" w:eastAsia="Calibri" w:hAnsi="Arial" w:cs="Arial"/>
                <w:i/>
                <w:noProof/>
                <w:sz w:val="16"/>
                <w:szCs w:val="16"/>
              </w:rPr>
              <w:t>1 196 708,05</w:t>
            </w:r>
          </w:p>
        </w:tc>
        <w:tc>
          <w:tcPr>
            <w:tcW w:w="318" w:type="pct"/>
            <w:tcBorders>
              <w:top w:val="single" w:sz="4" w:space="0" w:color="auto"/>
              <w:left w:val="single" w:sz="4" w:space="0" w:color="auto"/>
              <w:bottom w:val="single" w:sz="4" w:space="0" w:color="auto"/>
              <w:right w:val="single" w:sz="4" w:space="0" w:color="auto"/>
            </w:tcBorders>
            <w:hideMark/>
          </w:tcPr>
          <w:p w:rsidR="00FF2EC0" w:rsidRPr="001D50E3" w:rsidRDefault="00FF2EC0" w:rsidP="00754C28">
            <w:pPr>
              <w:spacing w:after="60"/>
              <w:jc w:val="both"/>
              <w:rPr>
                <w:rFonts w:ascii="Arial" w:eastAsia="Calibri" w:hAnsi="Arial" w:cs="Arial"/>
                <w:i/>
                <w:noProof/>
                <w:sz w:val="16"/>
                <w:szCs w:val="16"/>
              </w:rPr>
            </w:pPr>
            <w:r w:rsidRPr="001D50E3">
              <w:rPr>
                <w:rFonts w:ascii="Arial" w:eastAsia="Calibri" w:hAnsi="Arial" w:cs="Arial"/>
                <w:i/>
                <w:noProof/>
                <w:sz w:val="16"/>
                <w:szCs w:val="16"/>
              </w:rPr>
              <w:t>1 196 708,05</w:t>
            </w:r>
          </w:p>
        </w:tc>
        <w:tc>
          <w:tcPr>
            <w:tcW w:w="308" w:type="pct"/>
            <w:tcBorders>
              <w:top w:val="single" w:sz="4" w:space="0" w:color="auto"/>
              <w:left w:val="single" w:sz="4" w:space="0" w:color="auto"/>
              <w:bottom w:val="single" w:sz="4" w:space="0" w:color="auto"/>
              <w:right w:val="single" w:sz="4" w:space="0" w:color="auto"/>
            </w:tcBorders>
            <w:hideMark/>
          </w:tcPr>
          <w:p w:rsidR="00FF2EC0" w:rsidRPr="001D50E3" w:rsidRDefault="00FF2EC0" w:rsidP="00754C28">
            <w:pPr>
              <w:spacing w:after="60"/>
              <w:jc w:val="both"/>
              <w:rPr>
                <w:rFonts w:ascii="Arial" w:eastAsia="Calibri" w:hAnsi="Arial" w:cs="Arial"/>
                <w:i/>
                <w:noProof/>
                <w:sz w:val="16"/>
                <w:szCs w:val="16"/>
              </w:rPr>
            </w:pPr>
            <w:r w:rsidRPr="001D50E3">
              <w:rPr>
                <w:rFonts w:ascii="Arial" w:eastAsia="Calibri" w:hAnsi="Arial" w:cs="Arial"/>
                <w:i/>
                <w:noProof/>
                <w:sz w:val="16"/>
                <w:szCs w:val="16"/>
              </w:rPr>
              <w:t>15 956 107,09</w:t>
            </w:r>
          </w:p>
        </w:tc>
        <w:tc>
          <w:tcPr>
            <w:tcW w:w="314" w:type="pct"/>
            <w:gridSpan w:val="2"/>
            <w:tcBorders>
              <w:top w:val="single" w:sz="4" w:space="0" w:color="auto"/>
              <w:left w:val="single" w:sz="4" w:space="0" w:color="auto"/>
              <w:bottom w:val="single" w:sz="4" w:space="0" w:color="auto"/>
              <w:right w:val="single" w:sz="4" w:space="0" w:color="auto"/>
            </w:tcBorders>
            <w:hideMark/>
          </w:tcPr>
          <w:p w:rsidR="00FF2EC0" w:rsidRPr="001D50E3" w:rsidRDefault="00FF2EC0" w:rsidP="00754C28">
            <w:pPr>
              <w:spacing w:after="60"/>
              <w:jc w:val="both"/>
              <w:rPr>
                <w:rFonts w:ascii="Arial" w:eastAsia="Calibri" w:hAnsi="Arial" w:cs="Arial"/>
                <w:i/>
                <w:noProof/>
                <w:sz w:val="16"/>
                <w:szCs w:val="16"/>
              </w:rPr>
            </w:pPr>
            <w:r w:rsidRPr="001D50E3">
              <w:rPr>
                <w:rFonts w:ascii="Arial" w:eastAsia="Calibri" w:hAnsi="Arial" w:cs="Arial"/>
                <w:i/>
                <w:noProof/>
                <w:sz w:val="16"/>
                <w:szCs w:val="16"/>
              </w:rPr>
              <w:t>0,85</w:t>
            </w:r>
          </w:p>
        </w:tc>
      </w:tr>
      <w:tr w:rsidR="00FF2EC0" w:rsidRPr="001D50E3" w:rsidTr="001D50E3">
        <w:tblPrEx>
          <w:jc w:val="left"/>
        </w:tblPrEx>
        <w:trPr>
          <w:gridAfter w:val="1"/>
          <w:wAfter w:w="200" w:type="pct"/>
        </w:trPr>
        <w:tc>
          <w:tcPr>
            <w:tcW w:w="857" w:type="pct"/>
            <w:gridSpan w:val="2"/>
            <w:tcBorders>
              <w:top w:val="single" w:sz="4" w:space="0" w:color="auto"/>
              <w:left w:val="single" w:sz="4" w:space="0" w:color="auto"/>
              <w:bottom w:val="single" w:sz="4" w:space="0" w:color="auto"/>
              <w:right w:val="single" w:sz="4" w:space="0" w:color="auto"/>
            </w:tcBorders>
          </w:tcPr>
          <w:p w:rsidR="00FF2EC0" w:rsidRPr="001D50E3" w:rsidRDefault="00FF2EC0" w:rsidP="00754C28">
            <w:pPr>
              <w:spacing w:after="160"/>
              <w:jc w:val="both"/>
              <w:rPr>
                <w:rFonts w:ascii="Arial" w:eastAsia="Calibri" w:hAnsi="Arial" w:cs="Arial"/>
                <w:i/>
                <w:noProof/>
                <w:sz w:val="16"/>
                <w:szCs w:val="16"/>
              </w:rPr>
            </w:pPr>
          </w:p>
        </w:tc>
        <w:tc>
          <w:tcPr>
            <w:tcW w:w="501" w:type="pct"/>
            <w:gridSpan w:val="2"/>
            <w:tcBorders>
              <w:top w:val="single" w:sz="4" w:space="0" w:color="auto"/>
              <w:left w:val="single" w:sz="4" w:space="0" w:color="auto"/>
              <w:bottom w:val="single" w:sz="4" w:space="0" w:color="auto"/>
              <w:right w:val="single" w:sz="4" w:space="0" w:color="auto"/>
            </w:tcBorders>
            <w:hideMark/>
          </w:tcPr>
          <w:p w:rsidR="00FF2EC0" w:rsidRPr="001D50E3" w:rsidRDefault="00FF2EC0" w:rsidP="00754C28">
            <w:pPr>
              <w:spacing w:after="160"/>
              <w:jc w:val="both"/>
              <w:rPr>
                <w:rFonts w:ascii="Arial" w:eastAsia="Calibri" w:hAnsi="Arial" w:cs="Arial"/>
                <w:i/>
                <w:noProof/>
                <w:sz w:val="16"/>
                <w:szCs w:val="16"/>
              </w:rPr>
            </w:pPr>
            <w:r w:rsidRPr="001D50E3">
              <w:rPr>
                <w:rFonts w:ascii="Arial" w:eastAsia="Calibri" w:hAnsi="Arial" w:cs="Arial"/>
                <w:i/>
                <w:noProof/>
                <w:sz w:val="16"/>
                <w:szCs w:val="20"/>
                <w:lang w:val="mk-MK"/>
              </w:rPr>
              <w:t>ПГС во сосед-ството</w:t>
            </w:r>
          </w:p>
        </w:tc>
        <w:tc>
          <w:tcPr>
            <w:tcW w:w="592" w:type="pct"/>
            <w:tcBorders>
              <w:top w:val="single" w:sz="4" w:space="0" w:color="auto"/>
              <w:left w:val="single" w:sz="4" w:space="0" w:color="auto"/>
              <w:bottom w:val="single" w:sz="4" w:space="0" w:color="auto"/>
              <w:right w:val="single" w:sz="4" w:space="0" w:color="auto"/>
            </w:tcBorders>
          </w:tcPr>
          <w:p w:rsidR="00FF2EC0" w:rsidRPr="001D50E3" w:rsidRDefault="00FF2EC0" w:rsidP="00754C28">
            <w:pPr>
              <w:spacing w:after="60"/>
              <w:jc w:val="both"/>
              <w:rPr>
                <w:rFonts w:ascii="Arial" w:eastAsia="Calibri" w:hAnsi="Arial" w:cs="Arial"/>
                <w:i/>
                <w:noProof/>
                <w:sz w:val="16"/>
                <w:szCs w:val="16"/>
              </w:rPr>
            </w:pPr>
          </w:p>
        </w:tc>
        <w:tc>
          <w:tcPr>
            <w:tcW w:w="410" w:type="pct"/>
            <w:tcBorders>
              <w:top w:val="single" w:sz="4" w:space="0" w:color="auto"/>
              <w:left w:val="single" w:sz="4" w:space="0" w:color="auto"/>
              <w:bottom w:val="single" w:sz="4" w:space="0" w:color="auto"/>
              <w:right w:val="single" w:sz="4" w:space="0" w:color="auto"/>
            </w:tcBorders>
          </w:tcPr>
          <w:p w:rsidR="00FF2EC0" w:rsidRPr="001D50E3" w:rsidRDefault="00FF2EC0" w:rsidP="00754C28">
            <w:pPr>
              <w:spacing w:after="60"/>
              <w:jc w:val="both"/>
              <w:rPr>
                <w:rFonts w:ascii="Arial" w:eastAsia="Calibri" w:hAnsi="Arial" w:cs="Arial"/>
                <w:i/>
                <w:noProof/>
                <w:sz w:val="16"/>
                <w:szCs w:val="16"/>
              </w:rPr>
            </w:pPr>
          </w:p>
        </w:tc>
        <w:tc>
          <w:tcPr>
            <w:tcW w:w="410" w:type="pct"/>
            <w:tcBorders>
              <w:top w:val="single" w:sz="4" w:space="0" w:color="auto"/>
              <w:left w:val="single" w:sz="4" w:space="0" w:color="auto"/>
              <w:bottom w:val="single" w:sz="4" w:space="0" w:color="auto"/>
              <w:right w:val="single" w:sz="4" w:space="0" w:color="auto"/>
            </w:tcBorders>
          </w:tcPr>
          <w:p w:rsidR="00FF2EC0" w:rsidRPr="001D50E3" w:rsidRDefault="00FF2EC0" w:rsidP="00754C28">
            <w:pPr>
              <w:spacing w:after="60"/>
              <w:jc w:val="both"/>
              <w:rPr>
                <w:rFonts w:ascii="Arial" w:eastAsia="Calibri" w:hAnsi="Arial" w:cs="Arial"/>
                <w:i/>
                <w:noProof/>
                <w:sz w:val="16"/>
                <w:szCs w:val="16"/>
              </w:rPr>
            </w:pPr>
          </w:p>
        </w:tc>
        <w:tc>
          <w:tcPr>
            <w:tcW w:w="364" w:type="pct"/>
            <w:tcBorders>
              <w:top w:val="single" w:sz="4" w:space="0" w:color="auto"/>
              <w:left w:val="single" w:sz="4" w:space="0" w:color="auto"/>
              <w:bottom w:val="single" w:sz="4" w:space="0" w:color="auto"/>
              <w:right w:val="single" w:sz="4" w:space="0" w:color="auto"/>
            </w:tcBorders>
          </w:tcPr>
          <w:p w:rsidR="00FF2EC0" w:rsidRPr="001D50E3" w:rsidRDefault="00FF2EC0" w:rsidP="00754C28">
            <w:pPr>
              <w:spacing w:after="60"/>
              <w:jc w:val="both"/>
              <w:rPr>
                <w:rFonts w:ascii="Arial" w:eastAsia="Calibri" w:hAnsi="Arial" w:cs="Arial"/>
                <w:i/>
                <w:noProof/>
                <w:sz w:val="16"/>
                <w:szCs w:val="16"/>
              </w:rPr>
            </w:pPr>
          </w:p>
        </w:tc>
        <w:tc>
          <w:tcPr>
            <w:tcW w:w="410" w:type="pct"/>
            <w:tcBorders>
              <w:top w:val="single" w:sz="4" w:space="0" w:color="auto"/>
              <w:left w:val="single" w:sz="4" w:space="0" w:color="auto"/>
              <w:bottom w:val="single" w:sz="4" w:space="0" w:color="auto"/>
              <w:right w:val="single" w:sz="4" w:space="0" w:color="auto"/>
            </w:tcBorders>
          </w:tcPr>
          <w:p w:rsidR="00FF2EC0" w:rsidRPr="001D50E3" w:rsidRDefault="00FF2EC0" w:rsidP="00754C28">
            <w:pPr>
              <w:spacing w:after="60"/>
              <w:jc w:val="both"/>
              <w:rPr>
                <w:rFonts w:ascii="Arial" w:eastAsia="Calibri" w:hAnsi="Arial" w:cs="Arial"/>
                <w:i/>
                <w:noProof/>
                <w:sz w:val="16"/>
                <w:szCs w:val="16"/>
              </w:rPr>
            </w:pPr>
          </w:p>
        </w:tc>
        <w:tc>
          <w:tcPr>
            <w:tcW w:w="317" w:type="pct"/>
            <w:tcBorders>
              <w:top w:val="single" w:sz="4" w:space="0" w:color="auto"/>
              <w:left w:val="single" w:sz="4" w:space="0" w:color="auto"/>
              <w:bottom w:val="single" w:sz="4" w:space="0" w:color="auto"/>
              <w:right w:val="single" w:sz="4" w:space="0" w:color="auto"/>
            </w:tcBorders>
          </w:tcPr>
          <w:p w:rsidR="00FF2EC0" w:rsidRPr="001D50E3" w:rsidRDefault="00FF2EC0" w:rsidP="00754C28">
            <w:pPr>
              <w:spacing w:after="60"/>
              <w:jc w:val="both"/>
              <w:rPr>
                <w:rFonts w:ascii="Arial" w:eastAsia="Calibri" w:hAnsi="Arial" w:cs="Arial"/>
                <w:i/>
                <w:noProof/>
                <w:sz w:val="16"/>
                <w:szCs w:val="16"/>
              </w:rPr>
            </w:pPr>
          </w:p>
        </w:tc>
        <w:tc>
          <w:tcPr>
            <w:tcW w:w="318" w:type="pct"/>
            <w:tcBorders>
              <w:top w:val="single" w:sz="4" w:space="0" w:color="auto"/>
              <w:left w:val="single" w:sz="4" w:space="0" w:color="auto"/>
              <w:bottom w:val="single" w:sz="4" w:space="0" w:color="auto"/>
              <w:right w:val="single" w:sz="4" w:space="0" w:color="auto"/>
            </w:tcBorders>
          </w:tcPr>
          <w:p w:rsidR="00FF2EC0" w:rsidRPr="001D50E3" w:rsidRDefault="00FF2EC0" w:rsidP="00754C28">
            <w:pPr>
              <w:spacing w:after="60"/>
              <w:jc w:val="both"/>
              <w:rPr>
                <w:rFonts w:ascii="Arial" w:eastAsia="Calibri" w:hAnsi="Arial" w:cs="Arial"/>
                <w:i/>
                <w:noProof/>
                <w:sz w:val="16"/>
                <w:szCs w:val="16"/>
              </w:rPr>
            </w:pPr>
          </w:p>
        </w:tc>
        <w:tc>
          <w:tcPr>
            <w:tcW w:w="308" w:type="pct"/>
            <w:tcBorders>
              <w:top w:val="single" w:sz="4" w:space="0" w:color="auto"/>
              <w:left w:val="single" w:sz="4" w:space="0" w:color="auto"/>
              <w:bottom w:val="single" w:sz="4" w:space="0" w:color="auto"/>
              <w:right w:val="single" w:sz="4" w:space="0" w:color="auto"/>
            </w:tcBorders>
          </w:tcPr>
          <w:p w:rsidR="00FF2EC0" w:rsidRPr="001D50E3" w:rsidRDefault="00FF2EC0" w:rsidP="00754C28">
            <w:pPr>
              <w:spacing w:after="60"/>
              <w:jc w:val="both"/>
              <w:rPr>
                <w:rFonts w:ascii="Arial" w:eastAsia="Calibri" w:hAnsi="Arial" w:cs="Arial"/>
                <w:i/>
                <w:noProof/>
                <w:sz w:val="16"/>
                <w:szCs w:val="16"/>
              </w:rPr>
            </w:pPr>
          </w:p>
        </w:tc>
        <w:tc>
          <w:tcPr>
            <w:tcW w:w="314" w:type="pct"/>
            <w:gridSpan w:val="2"/>
            <w:tcBorders>
              <w:top w:val="single" w:sz="4" w:space="0" w:color="auto"/>
              <w:left w:val="single" w:sz="4" w:space="0" w:color="auto"/>
              <w:bottom w:val="single" w:sz="4" w:space="0" w:color="auto"/>
              <w:right w:val="single" w:sz="4" w:space="0" w:color="auto"/>
            </w:tcBorders>
          </w:tcPr>
          <w:p w:rsidR="00FF2EC0" w:rsidRPr="001D50E3" w:rsidRDefault="00FF2EC0" w:rsidP="00754C28">
            <w:pPr>
              <w:spacing w:after="60"/>
              <w:jc w:val="both"/>
              <w:rPr>
                <w:rFonts w:ascii="Arial" w:eastAsia="Calibri" w:hAnsi="Arial" w:cs="Arial"/>
                <w:i/>
                <w:noProof/>
                <w:sz w:val="16"/>
                <w:szCs w:val="16"/>
              </w:rPr>
            </w:pPr>
          </w:p>
        </w:tc>
      </w:tr>
      <w:tr w:rsidR="00FF2EC0" w:rsidRPr="001D50E3" w:rsidTr="001D50E3">
        <w:tblPrEx>
          <w:jc w:val="left"/>
        </w:tblPrEx>
        <w:trPr>
          <w:gridAfter w:val="1"/>
          <w:wAfter w:w="200" w:type="pct"/>
        </w:trPr>
        <w:tc>
          <w:tcPr>
            <w:tcW w:w="857" w:type="pct"/>
            <w:gridSpan w:val="2"/>
            <w:tcBorders>
              <w:top w:val="single" w:sz="4" w:space="0" w:color="auto"/>
              <w:left w:val="single" w:sz="4" w:space="0" w:color="auto"/>
              <w:bottom w:val="single" w:sz="4" w:space="0" w:color="auto"/>
              <w:right w:val="single" w:sz="4" w:space="0" w:color="auto"/>
            </w:tcBorders>
          </w:tcPr>
          <w:p w:rsidR="00FF2EC0" w:rsidRPr="001D50E3" w:rsidRDefault="00FF2EC0" w:rsidP="00754C28">
            <w:pPr>
              <w:spacing w:after="160"/>
              <w:jc w:val="both"/>
              <w:rPr>
                <w:rFonts w:ascii="Arial" w:eastAsia="Calibri" w:hAnsi="Arial" w:cs="Arial"/>
                <w:i/>
                <w:noProof/>
                <w:sz w:val="16"/>
                <w:szCs w:val="16"/>
              </w:rPr>
            </w:pPr>
          </w:p>
        </w:tc>
        <w:tc>
          <w:tcPr>
            <w:tcW w:w="501" w:type="pct"/>
            <w:gridSpan w:val="2"/>
            <w:tcBorders>
              <w:top w:val="single" w:sz="4" w:space="0" w:color="auto"/>
              <w:left w:val="single" w:sz="4" w:space="0" w:color="auto"/>
              <w:bottom w:val="single" w:sz="4" w:space="0" w:color="auto"/>
              <w:right w:val="single" w:sz="4" w:space="0" w:color="auto"/>
            </w:tcBorders>
            <w:hideMark/>
          </w:tcPr>
          <w:p w:rsidR="00FF2EC0" w:rsidRPr="001D50E3" w:rsidRDefault="00FF2EC0" w:rsidP="00754C28">
            <w:pPr>
              <w:spacing w:after="160"/>
              <w:jc w:val="both"/>
              <w:rPr>
                <w:rFonts w:ascii="Arial" w:eastAsia="Calibri" w:hAnsi="Arial" w:cs="Arial"/>
                <w:i/>
                <w:noProof/>
                <w:sz w:val="16"/>
                <w:szCs w:val="16"/>
              </w:rPr>
            </w:pPr>
            <w:r w:rsidRPr="001D50E3">
              <w:rPr>
                <w:rFonts w:ascii="Arial" w:eastAsia="Calibri" w:hAnsi="Arial" w:cs="Arial"/>
                <w:i/>
                <w:noProof/>
                <w:sz w:val="16"/>
                <w:szCs w:val="16"/>
                <w:lang w:val="sq-AL"/>
              </w:rPr>
              <w:t xml:space="preserve">Ipa </w:t>
            </w:r>
            <w:r w:rsidRPr="001D50E3">
              <w:rPr>
                <w:rFonts w:ascii="Arial" w:eastAsia="Calibri" w:hAnsi="Arial" w:cs="Arial"/>
                <w:i/>
                <w:noProof/>
                <w:sz w:val="16"/>
                <w:szCs w:val="16"/>
              </w:rPr>
              <w:t>III</w:t>
            </w:r>
          </w:p>
        </w:tc>
        <w:tc>
          <w:tcPr>
            <w:tcW w:w="592" w:type="pct"/>
            <w:tcBorders>
              <w:top w:val="single" w:sz="4" w:space="0" w:color="auto"/>
              <w:left w:val="single" w:sz="4" w:space="0" w:color="auto"/>
              <w:bottom w:val="single" w:sz="4" w:space="0" w:color="auto"/>
              <w:right w:val="single" w:sz="4" w:space="0" w:color="auto"/>
            </w:tcBorders>
          </w:tcPr>
          <w:p w:rsidR="00FF2EC0" w:rsidRPr="001D50E3" w:rsidRDefault="00FF2EC0" w:rsidP="00754C28">
            <w:pPr>
              <w:spacing w:after="60"/>
              <w:jc w:val="both"/>
              <w:rPr>
                <w:rFonts w:ascii="Arial" w:eastAsia="Calibri" w:hAnsi="Arial" w:cs="Arial"/>
                <w:i/>
                <w:noProof/>
                <w:sz w:val="16"/>
                <w:szCs w:val="16"/>
              </w:rPr>
            </w:pPr>
          </w:p>
        </w:tc>
        <w:tc>
          <w:tcPr>
            <w:tcW w:w="410" w:type="pct"/>
            <w:tcBorders>
              <w:top w:val="single" w:sz="4" w:space="0" w:color="auto"/>
              <w:left w:val="single" w:sz="4" w:space="0" w:color="auto"/>
              <w:bottom w:val="single" w:sz="4" w:space="0" w:color="auto"/>
              <w:right w:val="single" w:sz="4" w:space="0" w:color="auto"/>
            </w:tcBorders>
          </w:tcPr>
          <w:p w:rsidR="00FF2EC0" w:rsidRPr="001D50E3" w:rsidRDefault="00FF2EC0" w:rsidP="00754C28">
            <w:pPr>
              <w:spacing w:after="60"/>
              <w:jc w:val="both"/>
              <w:rPr>
                <w:rFonts w:ascii="Arial" w:eastAsia="Calibri" w:hAnsi="Arial" w:cs="Arial"/>
                <w:i/>
                <w:noProof/>
                <w:sz w:val="16"/>
                <w:szCs w:val="16"/>
              </w:rPr>
            </w:pPr>
          </w:p>
        </w:tc>
        <w:tc>
          <w:tcPr>
            <w:tcW w:w="410" w:type="pct"/>
            <w:tcBorders>
              <w:top w:val="single" w:sz="4" w:space="0" w:color="auto"/>
              <w:left w:val="single" w:sz="4" w:space="0" w:color="auto"/>
              <w:bottom w:val="single" w:sz="4" w:space="0" w:color="auto"/>
              <w:right w:val="single" w:sz="4" w:space="0" w:color="auto"/>
            </w:tcBorders>
          </w:tcPr>
          <w:p w:rsidR="00FF2EC0" w:rsidRPr="001D50E3" w:rsidRDefault="00FF2EC0" w:rsidP="00754C28">
            <w:pPr>
              <w:spacing w:after="60"/>
              <w:jc w:val="both"/>
              <w:rPr>
                <w:rFonts w:ascii="Arial" w:eastAsia="Calibri" w:hAnsi="Arial" w:cs="Arial"/>
                <w:i/>
                <w:noProof/>
                <w:sz w:val="16"/>
                <w:szCs w:val="16"/>
              </w:rPr>
            </w:pPr>
          </w:p>
        </w:tc>
        <w:tc>
          <w:tcPr>
            <w:tcW w:w="364" w:type="pct"/>
            <w:tcBorders>
              <w:top w:val="single" w:sz="4" w:space="0" w:color="auto"/>
              <w:left w:val="single" w:sz="4" w:space="0" w:color="auto"/>
              <w:bottom w:val="single" w:sz="4" w:space="0" w:color="auto"/>
              <w:right w:val="single" w:sz="4" w:space="0" w:color="auto"/>
            </w:tcBorders>
          </w:tcPr>
          <w:p w:rsidR="00FF2EC0" w:rsidRPr="001D50E3" w:rsidRDefault="00FF2EC0" w:rsidP="00754C28">
            <w:pPr>
              <w:spacing w:after="60"/>
              <w:jc w:val="both"/>
              <w:rPr>
                <w:rFonts w:ascii="Arial" w:eastAsia="Calibri" w:hAnsi="Arial" w:cs="Arial"/>
                <w:i/>
                <w:noProof/>
                <w:sz w:val="16"/>
                <w:szCs w:val="16"/>
              </w:rPr>
            </w:pPr>
          </w:p>
        </w:tc>
        <w:tc>
          <w:tcPr>
            <w:tcW w:w="410" w:type="pct"/>
            <w:tcBorders>
              <w:top w:val="single" w:sz="4" w:space="0" w:color="auto"/>
              <w:left w:val="single" w:sz="4" w:space="0" w:color="auto"/>
              <w:bottom w:val="single" w:sz="4" w:space="0" w:color="auto"/>
              <w:right w:val="single" w:sz="4" w:space="0" w:color="auto"/>
            </w:tcBorders>
          </w:tcPr>
          <w:p w:rsidR="00FF2EC0" w:rsidRPr="001D50E3" w:rsidRDefault="00FF2EC0" w:rsidP="00754C28">
            <w:pPr>
              <w:spacing w:after="60"/>
              <w:jc w:val="both"/>
              <w:rPr>
                <w:rFonts w:ascii="Arial" w:eastAsia="Calibri" w:hAnsi="Arial" w:cs="Arial"/>
                <w:i/>
                <w:noProof/>
                <w:sz w:val="16"/>
                <w:szCs w:val="16"/>
              </w:rPr>
            </w:pPr>
          </w:p>
        </w:tc>
        <w:tc>
          <w:tcPr>
            <w:tcW w:w="317" w:type="pct"/>
            <w:tcBorders>
              <w:top w:val="single" w:sz="4" w:space="0" w:color="auto"/>
              <w:left w:val="single" w:sz="4" w:space="0" w:color="auto"/>
              <w:bottom w:val="single" w:sz="4" w:space="0" w:color="auto"/>
              <w:right w:val="single" w:sz="4" w:space="0" w:color="auto"/>
            </w:tcBorders>
          </w:tcPr>
          <w:p w:rsidR="00FF2EC0" w:rsidRPr="001D50E3" w:rsidRDefault="00FF2EC0" w:rsidP="00754C28">
            <w:pPr>
              <w:spacing w:after="60"/>
              <w:jc w:val="both"/>
              <w:rPr>
                <w:rFonts w:ascii="Arial" w:eastAsia="Calibri" w:hAnsi="Arial" w:cs="Arial"/>
                <w:i/>
                <w:noProof/>
                <w:sz w:val="16"/>
                <w:szCs w:val="16"/>
              </w:rPr>
            </w:pPr>
          </w:p>
        </w:tc>
        <w:tc>
          <w:tcPr>
            <w:tcW w:w="318" w:type="pct"/>
            <w:tcBorders>
              <w:top w:val="single" w:sz="4" w:space="0" w:color="auto"/>
              <w:left w:val="single" w:sz="4" w:space="0" w:color="auto"/>
              <w:bottom w:val="single" w:sz="4" w:space="0" w:color="auto"/>
              <w:right w:val="single" w:sz="4" w:space="0" w:color="auto"/>
            </w:tcBorders>
          </w:tcPr>
          <w:p w:rsidR="00FF2EC0" w:rsidRPr="001D50E3" w:rsidRDefault="00FF2EC0" w:rsidP="00754C28">
            <w:pPr>
              <w:spacing w:after="60"/>
              <w:jc w:val="both"/>
              <w:rPr>
                <w:rFonts w:ascii="Arial" w:eastAsia="Calibri" w:hAnsi="Arial" w:cs="Arial"/>
                <w:i/>
                <w:noProof/>
                <w:sz w:val="16"/>
                <w:szCs w:val="16"/>
              </w:rPr>
            </w:pPr>
          </w:p>
        </w:tc>
        <w:tc>
          <w:tcPr>
            <w:tcW w:w="308" w:type="pct"/>
            <w:tcBorders>
              <w:top w:val="single" w:sz="4" w:space="0" w:color="auto"/>
              <w:left w:val="single" w:sz="4" w:space="0" w:color="auto"/>
              <w:bottom w:val="single" w:sz="4" w:space="0" w:color="auto"/>
              <w:right w:val="single" w:sz="4" w:space="0" w:color="auto"/>
            </w:tcBorders>
          </w:tcPr>
          <w:p w:rsidR="00FF2EC0" w:rsidRPr="001D50E3" w:rsidRDefault="00FF2EC0" w:rsidP="00754C28">
            <w:pPr>
              <w:spacing w:after="60"/>
              <w:jc w:val="both"/>
              <w:rPr>
                <w:rFonts w:ascii="Arial" w:eastAsia="Calibri" w:hAnsi="Arial" w:cs="Arial"/>
                <w:i/>
                <w:noProof/>
                <w:sz w:val="16"/>
                <w:szCs w:val="16"/>
              </w:rPr>
            </w:pPr>
          </w:p>
        </w:tc>
        <w:tc>
          <w:tcPr>
            <w:tcW w:w="314" w:type="pct"/>
            <w:gridSpan w:val="2"/>
            <w:tcBorders>
              <w:top w:val="single" w:sz="4" w:space="0" w:color="auto"/>
              <w:left w:val="single" w:sz="4" w:space="0" w:color="auto"/>
              <w:bottom w:val="single" w:sz="4" w:space="0" w:color="auto"/>
              <w:right w:val="single" w:sz="4" w:space="0" w:color="auto"/>
            </w:tcBorders>
          </w:tcPr>
          <w:p w:rsidR="00FF2EC0" w:rsidRPr="001D50E3" w:rsidRDefault="00FF2EC0" w:rsidP="00754C28">
            <w:pPr>
              <w:spacing w:after="60"/>
              <w:jc w:val="both"/>
              <w:rPr>
                <w:rFonts w:ascii="Arial" w:eastAsia="Calibri" w:hAnsi="Arial" w:cs="Arial"/>
                <w:i/>
                <w:noProof/>
                <w:sz w:val="16"/>
                <w:szCs w:val="16"/>
              </w:rPr>
            </w:pPr>
          </w:p>
        </w:tc>
      </w:tr>
      <w:tr w:rsidR="00FF2EC0" w:rsidRPr="001D50E3" w:rsidTr="001D50E3">
        <w:tblPrEx>
          <w:jc w:val="left"/>
        </w:tblPrEx>
        <w:trPr>
          <w:gridAfter w:val="1"/>
          <w:wAfter w:w="200" w:type="pct"/>
        </w:trPr>
        <w:tc>
          <w:tcPr>
            <w:tcW w:w="857" w:type="pct"/>
            <w:gridSpan w:val="2"/>
            <w:tcBorders>
              <w:top w:val="single" w:sz="4" w:space="0" w:color="auto"/>
              <w:left w:val="single" w:sz="4" w:space="0" w:color="auto"/>
              <w:bottom w:val="single" w:sz="4" w:space="0" w:color="auto"/>
              <w:right w:val="single" w:sz="4" w:space="0" w:color="auto"/>
            </w:tcBorders>
          </w:tcPr>
          <w:p w:rsidR="00FF2EC0" w:rsidRPr="001D50E3" w:rsidRDefault="00FF2EC0" w:rsidP="00754C28">
            <w:pPr>
              <w:spacing w:after="160"/>
              <w:jc w:val="both"/>
              <w:rPr>
                <w:rFonts w:ascii="Arial" w:eastAsia="Calibri" w:hAnsi="Arial" w:cs="Arial"/>
                <w:i/>
                <w:noProof/>
                <w:sz w:val="16"/>
                <w:szCs w:val="16"/>
              </w:rPr>
            </w:pPr>
          </w:p>
        </w:tc>
        <w:tc>
          <w:tcPr>
            <w:tcW w:w="501" w:type="pct"/>
            <w:gridSpan w:val="2"/>
            <w:tcBorders>
              <w:top w:val="single" w:sz="4" w:space="0" w:color="auto"/>
              <w:left w:val="single" w:sz="4" w:space="0" w:color="auto"/>
              <w:bottom w:val="single" w:sz="4" w:space="0" w:color="auto"/>
              <w:right w:val="single" w:sz="4" w:space="0" w:color="auto"/>
            </w:tcBorders>
            <w:hideMark/>
          </w:tcPr>
          <w:p w:rsidR="00FF2EC0" w:rsidRPr="001D50E3" w:rsidRDefault="00FF2EC0" w:rsidP="00754C28">
            <w:pPr>
              <w:spacing w:after="160"/>
              <w:jc w:val="both"/>
              <w:rPr>
                <w:rFonts w:ascii="Arial" w:eastAsia="Calibri" w:hAnsi="Arial" w:cs="Arial"/>
                <w:i/>
                <w:noProof/>
                <w:sz w:val="16"/>
                <w:szCs w:val="16"/>
              </w:rPr>
            </w:pPr>
            <w:r w:rsidRPr="001D50E3">
              <w:rPr>
                <w:rFonts w:ascii="Arial" w:eastAsia="Calibri" w:hAnsi="Arial" w:cs="Arial"/>
                <w:i/>
                <w:noProof/>
                <w:sz w:val="16"/>
                <w:szCs w:val="16"/>
                <w:lang w:val="mk-MK"/>
              </w:rPr>
              <w:t>ИСРТС</w:t>
            </w:r>
          </w:p>
        </w:tc>
        <w:tc>
          <w:tcPr>
            <w:tcW w:w="592" w:type="pct"/>
            <w:tcBorders>
              <w:top w:val="single" w:sz="4" w:space="0" w:color="auto"/>
              <w:left w:val="single" w:sz="4" w:space="0" w:color="auto"/>
              <w:bottom w:val="single" w:sz="4" w:space="0" w:color="auto"/>
              <w:right w:val="single" w:sz="4" w:space="0" w:color="auto"/>
            </w:tcBorders>
          </w:tcPr>
          <w:p w:rsidR="00FF2EC0" w:rsidRPr="001D50E3" w:rsidRDefault="00FF2EC0" w:rsidP="00754C28">
            <w:pPr>
              <w:spacing w:after="60"/>
              <w:jc w:val="both"/>
              <w:rPr>
                <w:rFonts w:ascii="Arial" w:eastAsia="Calibri" w:hAnsi="Arial" w:cs="Arial"/>
                <w:i/>
                <w:noProof/>
                <w:sz w:val="16"/>
                <w:szCs w:val="16"/>
              </w:rPr>
            </w:pPr>
          </w:p>
        </w:tc>
        <w:tc>
          <w:tcPr>
            <w:tcW w:w="410" w:type="pct"/>
            <w:tcBorders>
              <w:top w:val="single" w:sz="4" w:space="0" w:color="auto"/>
              <w:left w:val="single" w:sz="4" w:space="0" w:color="auto"/>
              <w:bottom w:val="single" w:sz="4" w:space="0" w:color="auto"/>
              <w:right w:val="single" w:sz="4" w:space="0" w:color="auto"/>
            </w:tcBorders>
          </w:tcPr>
          <w:p w:rsidR="00FF2EC0" w:rsidRPr="001D50E3" w:rsidRDefault="00FF2EC0" w:rsidP="00754C28">
            <w:pPr>
              <w:spacing w:after="60"/>
              <w:jc w:val="both"/>
              <w:rPr>
                <w:rFonts w:ascii="Arial" w:eastAsia="Calibri" w:hAnsi="Arial" w:cs="Arial"/>
                <w:i/>
                <w:noProof/>
                <w:sz w:val="16"/>
                <w:szCs w:val="16"/>
              </w:rPr>
            </w:pPr>
          </w:p>
        </w:tc>
        <w:tc>
          <w:tcPr>
            <w:tcW w:w="410" w:type="pct"/>
            <w:tcBorders>
              <w:top w:val="single" w:sz="4" w:space="0" w:color="auto"/>
              <w:left w:val="single" w:sz="4" w:space="0" w:color="auto"/>
              <w:bottom w:val="single" w:sz="4" w:space="0" w:color="auto"/>
              <w:right w:val="single" w:sz="4" w:space="0" w:color="auto"/>
            </w:tcBorders>
          </w:tcPr>
          <w:p w:rsidR="00FF2EC0" w:rsidRPr="001D50E3" w:rsidRDefault="00FF2EC0" w:rsidP="00754C28">
            <w:pPr>
              <w:spacing w:after="60"/>
              <w:jc w:val="both"/>
              <w:rPr>
                <w:rFonts w:ascii="Arial" w:eastAsia="Calibri" w:hAnsi="Arial" w:cs="Arial"/>
                <w:i/>
                <w:noProof/>
                <w:sz w:val="16"/>
                <w:szCs w:val="16"/>
              </w:rPr>
            </w:pPr>
          </w:p>
        </w:tc>
        <w:tc>
          <w:tcPr>
            <w:tcW w:w="364" w:type="pct"/>
            <w:tcBorders>
              <w:top w:val="single" w:sz="4" w:space="0" w:color="auto"/>
              <w:left w:val="single" w:sz="4" w:space="0" w:color="auto"/>
              <w:bottom w:val="single" w:sz="4" w:space="0" w:color="auto"/>
              <w:right w:val="single" w:sz="4" w:space="0" w:color="auto"/>
            </w:tcBorders>
          </w:tcPr>
          <w:p w:rsidR="00FF2EC0" w:rsidRPr="001D50E3" w:rsidRDefault="00FF2EC0" w:rsidP="00754C28">
            <w:pPr>
              <w:spacing w:after="60"/>
              <w:jc w:val="both"/>
              <w:rPr>
                <w:rFonts w:ascii="Arial" w:eastAsia="Calibri" w:hAnsi="Arial" w:cs="Arial"/>
                <w:i/>
                <w:noProof/>
                <w:sz w:val="16"/>
                <w:szCs w:val="16"/>
              </w:rPr>
            </w:pPr>
          </w:p>
        </w:tc>
        <w:tc>
          <w:tcPr>
            <w:tcW w:w="410" w:type="pct"/>
            <w:tcBorders>
              <w:top w:val="single" w:sz="4" w:space="0" w:color="auto"/>
              <w:left w:val="single" w:sz="4" w:space="0" w:color="auto"/>
              <w:bottom w:val="single" w:sz="4" w:space="0" w:color="auto"/>
              <w:right w:val="single" w:sz="4" w:space="0" w:color="auto"/>
            </w:tcBorders>
          </w:tcPr>
          <w:p w:rsidR="00FF2EC0" w:rsidRPr="001D50E3" w:rsidRDefault="00FF2EC0" w:rsidP="00754C28">
            <w:pPr>
              <w:spacing w:after="60"/>
              <w:jc w:val="both"/>
              <w:rPr>
                <w:rFonts w:ascii="Arial" w:eastAsia="Calibri" w:hAnsi="Arial" w:cs="Arial"/>
                <w:i/>
                <w:noProof/>
                <w:sz w:val="16"/>
                <w:szCs w:val="16"/>
              </w:rPr>
            </w:pPr>
          </w:p>
        </w:tc>
        <w:tc>
          <w:tcPr>
            <w:tcW w:w="317" w:type="pct"/>
            <w:tcBorders>
              <w:top w:val="single" w:sz="4" w:space="0" w:color="auto"/>
              <w:left w:val="single" w:sz="4" w:space="0" w:color="auto"/>
              <w:bottom w:val="single" w:sz="4" w:space="0" w:color="auto"/>
              <w:right w:val="single" w:sz="4" w:space="0" w:color="auto"/>
            </w:tcBorders>
          </w:tcPr>
          <w:p w:rsidR="00FF2EC0" w:rsidRPr="001D50E3" w:rsidRDefault="00FF2EC0" w:rsidP="00754C28">
            <w:pPr>
              <w:spacing w:after="60"/>
              <w:jc w:val="both"/>
              <w:rPr>
                <w:rFonts w:ascii="Arial" w:eastAsia="Calibri" w:hAnsi="Arial" w:cs="Arial"/>
                <w:i/>
                <w:noProof/>
                <w:sz w:val="16"/>
                <w:szCs w:val="16"/>
              </w:rPr>
            </w:pPr>
          </w:p>
        </w:tc>
        <w:tc>
          <w:tcPr>
            <w:tcW w:w="318" w:type="pct"/>
            <w:tcBorders>
              <w:top w:val="single" w:sz="4" w:space="0" w:color="auto"/>
              <w:left w:val="single" w:sz="4" w:space="0" w:color="auto"/>
              <w:bottom w:val="single" w:sz="4" w:space="0" w:color="auto"/>
              <w:right w:val="single" w:sz="4" w:space="0" w:color="auto"/>
            </w:tcBorders>
          </w:tcPr>
          <w:p w:rsidR="00FF2EC0" w:rsidRPr="001D50E3" w:rsidRDefault="00FF2EC0" w:rsidP="00754C28">
            <w:pPr>
              <w:spacing w:after="60"/>
              <w:jc w:val="both"/>
              <w:rPr>
                <w:rFonts w:ascii="Arial" w:eastAsia="Calibri" w:hAnsi="Arial" w:cs="Arial"/>
                <w:i/>
                <w:noProof/>
                <w:sz w:val="16"/>
                <w:szCs w:val="16"/>
              </w:rPr>
            </w:pPr>
          </w:p>
        </w:tc>
        <w:tc>
          <w:tcPr>
            <w:tcW w:w="308" w:type="pct"/>
            <w:tcBorders>
              <w:top w:val="single" w:sz="4" w:space="0" w:color="auto"/>
              <w:left w:val="single" w:sz="4" w:space="0" w:color="auto"/>
              <w:bottom w:val="single" w:sz="4" w:space="0" w:color="auto"/>
              <w:right w:val="single" w:sz="4" w:space="0" w:color="auto"/>
            </w:tcBorders>
          </w:tcPr>
          <w:p w:rsidR="00FF2EC0" w:rsidRPr="001D50E3" w:rsidRDefault="00FF2EC0" w:rsidP="00754C28">
            <w:pPr>
              <w:spacing w:after="60"/>
              <w:jc w:val="both"/>
              <w:rPr>
                <w:rFonts w:ascii="Arial" w:eastAsia="Calibri" w:hAnsi="Arial" w:cs="Arial"/>
                <w:i/>
                <w:noProof/>
                <w:sz w:val="16"/>
                <w:szCs w:val="16"/>
              </w:rPr>
            </w:pPr>
          </w:p>
        </w:tc>
        <w:tc>
          <w:tcPr>
            <w:tcW w:w="314" w:type="pct"/>
            <w:gridSpan w:val="2"/>
            <w:tcBorders>
              <w:top w:val="single" w:sz="4" w:space="0" w:color="auto"/>
              <w:left w:val="single" w:sz="4" w:space="0" w:color="auto"/>
              <w:bottom w:val="single" w:sz="4" w:space="0" w:color="auto"/>
              <w:right w:val="single" w:sz="4" w:space="0" w:color="auto"/>
            </w:tcBorders>
          </w:tcPr>
          <w:p w:rsidR="00FF2EC0" w:rsidRPr="001D50E3" w:rsidRDefault="00FF2EC0" w:rsidP="00754C28">
            <w:pPr>
              <w:spacing w:after="60"/>
              <w:jc w:val="both"/>
              <w:rPr>
                <w:rFonts w:ascii="Arial" w:eastAsia="Calibri" w:hAnsi="Arial" w:cs="Arial"/>
                <w:i/>
                <w:noProof/>
                <w:sz w:val="16"/>
                <w:szCs w:val="16"/>
              </w:rPr>
            </w:pPr>
          </w:p>
        </w:tc>
      </w:tr>
      <w:tr w:rsidR="00FF2EC0" w:rsidRPr="001D50E3" w:rsidTr="001D50E3">
        <w:tblPrEx>
          <w:jc w:val="left"/>
        </w:tblPrEx>
        <w:trPr>
          <w:gridAfter w:val="1"/>
          <w:wAfter w:w="200" w:type="pct"/>
        </w:trPr>
        <w:tc>
          <w:tcPr>
            <w:tcW w:w="857" w:type="pct"/>
            <w:gridSpan w:val="2"/>
            <w:tcBorders>
              <w:top w:val="single" w:sz="4" w:space="0" w:color="auto"/>
              <w:left w:val="single" w:sz="4" w:space="0" w:color="auto"/>
              <w:bottom w:val="single" w:sz="4" w:space="0" w:color="auto"/>
              <w:right w:val="single" w:sz="4" w:space="0" w:color="auto"/>
            </w:tcBorders>
          </w:tcPr>
          <w:p w:rsidR="00FF2EC0" w:rsidRPr="001D50E3" w:rsidRDefault="00FF2EC0" w:rsidP="00754C28">
            <w:pPr>
              <w:spacing w:after="160"/>
              <w:jc w:val="both"/>
              <w:rPr>
                <w:rFonts w:ascii="Arial" w:eastAsia="Calibri" w:hAnsi="Arial" w:cs="Arial"/>
                <w:i/>
                <w:noProof/>
                <w:sz w:val="16"/>
                <w:szCs w:val="16"/>
              </w:rPr>
            </w:pPr>
          </w:p>
        </w:tc>
        <w:tc>
          <w:tcPr>
            <w:tcW w:w="501" w:type="pct"/>
            <w:gridSpan w:val="2"/>
            <w:tcBorders>
              <w:top w:val="single" w:sz="4" w:space="0" w:color="auto"/>
              <w:left w:val="single" w:sz="4" w:space="0" w:color="auto"/>
              <w:bottom w:val="single" w:sz="4" w:space="0" w:color="auto"/>
              <w:right w:val="single" w:sz="4" w:space="0" w:color="auto"/>
            </w:tcBorders>
            <w:hideMark/>
          </w:tcPr>
          <w:p w:rsidR="00FF2EC0" w:rsidRPr="001D50E3" w:rsidRDefault="00FF2EC0" w:rsidP="00754C28">
            <w:pPr>
              <w:spacing w:after="160"/>
              <w:jc w:val="both"/>
              <w:rPr>
                <w:rFonts w:ascii="Arial" w:eastAsia="Calibri" w:hAnsi="Arial" w:cs="Arial"/>
                <w:i/>
                <w:noProof/>
                <w:sz w:val="16"/>
                <w:szCs w:val="16"/>
              </w:rPr>
            </w:pPr>
            <w:r w:rsidRPr="001D50E3">
              <w:rPr>
                <w:rFonts w:ascii="Arial" w:eastAsia="Calibri" w:hAnsi="Arial" w:cs="Arial"/>
                <w:i/>
                <w:noProof/>
                <w:sz w:val="16"/>
                <w:szCs w:val="16"/>
              </w:rPr>
              <w:t>OCTP</w:t>
            </w:r>
          </w:p>
        </w:tc>
        <w:tc>
          <w:tcPr>
            <w:tcW w:w="592" w:type="pct"/>
            <w:tcBorders>
              <w:top w:val="single" w:sz="4" w:space="0" w:color="auto"/>
              <w:left w:val="single" w:sz="4" w:space="0" w:color="auto"/>
              <w:bottom w:val="single" w:sz="4" w:space="0" w:color="auto"/>
              <w:right w:val="single" w:sz="4" w:space="0" w:color="auto"/>
            </w:tcBorders>
          </w:tcPr>
          <w:p w:rsidR="00FF2EC0" w:rsidRPr="001D50E3" w:rsidRDefault="00FF2EC0" w:rsidP="00754C28">
            <w:pPr>
              <w:spacing w:after="60"/>
              <w:jc w:val="both"/>
              <w:rPr>
                <w:rFonts w:ascii="Arial" w:eastAsia="Calibri" w:hAnsi="Arial" w:cs="Arial"/>
                <w:i/>
                <w:noProof/>
                <w:sz w:val="16"/>
                <w:szCs w:val="16"/>
              </w:rPr>
            </w:pPr>
          </w:p>
        </w:tc>
        <w:tc>
          <w:tcPr>
            <w:tcW w:w="410" w:type="pct"/>
            <w:tcBorders>
              <w:top w:val="single" w:sz="4" w:space="0" w:color="auto"/>
              <w:left w:val="single" w:sz="4" w:space="0" w:color="auto"/>
              <w:bottom w:val="single" w:sz="4" w:space="0" w:color="auto"/>
              <w:right w:val="single" w:sz="4" w:space="0" w:color="auto"/>
            </w:tcBorders>
          </w:tcPr>
          <w:p w:rsidR="00FF2EC0" w:rsidRPr="001D50E3" w:rsidRDefault="00FF2EC0" w:rsidP="00754C28">
            <w:pPr>
              <w:spacing w:after="60"/>
              <w:jc w:val="both"/>
              <w:rPr>
                <w:rFonts w:ascii="Arial" w:eastAsia="Calibri" w:hAnsi="Arial" w:cs="Arial"/>
                <w:i/>
                <w:noProof/>
                <w:sz w:val="16"/>
                <w:szCs w:val="16"/>
              </w:rPr>
            </w:pPr>
          </w:p>
        </w:tc>
        <w:tc>
          <w:tcPr>
            <w:tcW w:w="410" w:type="pct"/>
            <w:tcBorders>
              <w:top w:val="single" w:sz="4" w:space="0" w:color="auto"/>
              <w:left w:val="single" w:sz="4" w:space="0" w:color="auto"/>
              <w:bottom w:val="single" w:sz="4" w:space="0" w:color="auto"/>
              <w:right w:val="single" w:sz="4" w:space="0" w:color="auto"/>
            </w:tcBorders>
          </w:tcPr>
          <w:p w:rsidR="00FF2EC0" w:rsidRPr="001D50E3" w:rsidRDefault="00FF2EC0" w:rsidP="00754C28">
            <w:pPr>
              <w:spacing w:after="60"/>
              <w:jc w:val="both"/>
              <w:rPr>
                <w:rFonts w:ascii="Arial" w:eastAsia="Calibri" w:hAnsi="Arial" w:cs="Arial"/>
                <w:i/>
                <w:noProof/>
                <w:sz w:val="16"/>
                <w:szCs w:val="16"/>
              </w:rPr>
            </w:pPr>
          </w:p>
        </w:tc>
        <w:tc>
          <w:tcPr>
            <w:tcW w:w="364" w:type="pct"/>
            <w:tcBorders>
              <w:top w:val="single" w:sz="4" w:space="0" w:color="auto"/>
              <w:left w:val="single" w:sz="4" w:space="0" w:color="auto"/>
              <w:bottom w:val="single" w:sz="4" w:space="0" w:color="auto"/>
              <w:right w:val="single" w:sz="4" w:space="0" w:color="auto"/>
            </w:tcBorders>
          </w:tcPr>
          <w:p w:rsidR="00FF2EC0" w:rsidRPr="001D50E3" w:rsidRDefault="00FF2EC0" w:rsidP="00754C28">
            <w:pPr>
              <w:spacing w:after="60"/>
              <w:jc w:val="both"/>
              <w:rPr>
                <w:rFonts w:ascii="Arial" w:eastAsia="Calibri" w:hAnsi="Arial" w:cs="Arial"/>
                <w:i/>
                <w:noProof/>
                <w:sz w:val="16"/>
                <w:szCs w:val="16"/>
              </w:rPr>
            </w:pPr>
          </w:p>
        </w:tc>
        <w:tc>
          <w:tcPr>
            <w:tcW w:w="410" w:type="pct"/>
            <w:tcBorders>
              <w:top w:val="single" w:sz="4" w:space="0" w:color="auto"/>
              <w:left w:val="single" w:sz="4" w:space="0" w:color="auto"/>
              <w:bottom w:val="single" w:sz="4" w:space="0" w:color="auto"/>
              <w:right w:val="single" w:sz="4" w:space="0" w:color="auto"/>
            </w:tcBorders>
          </w:tcPr>
          <w:p w:rsidR="00FF2EC0" w:rsidRPr="001D50E3" w:rsidRDefault="00FF2EC0" w:rsidP="00754C28">
            <w:pPr>
              <w:spacing w:after="60"/>
              <w:jc w:val="both"/>
              <w:rPr>
                <w:rFonts w:ascii="Arial" w:eastAsia="Calibri" w:hAnsi="Arial" w:cs="Arial"/>
                <w:i/>
                <w:noProof/>
                <w:sz w:val="16"/>
                <w:szCs w:val="16"/>
              </w:rPr>
            </w:pPr>
          </w:p>
        </w:tc>
        <w:tc>
          <w:tcPr>
            <w:tcW w:w="317" w:type="pct"/>
            <w:tcBorders>
              <w:top w:val="single" w:sz="4" w:space="0" w:color="auto"/>
              <w:left w:val="single" w:sz="4" w:space="0" w:color="auto"/>
              <w:bottom w:val="single" w:sz="4" w:space="0" w:color="auto"/>
              <w:right w:val="single" w:sz="4" w:space="0" w:color="auto"/>
            </w:tcBorders>
          </w:tcPr>
          <w:p w:rsidR="00FF2EC0" w:rsidRPr="001D50E3" w:rsidRDefault="00FF2EC0" w:rsidP="00754C28">
            <w:pPr>
              <w:spacing w:after="60"/>
              <w:jc w:val="both"/>
              <w:rPr>
                <w:rFonts w:ascii="Arial" w:eastAsia="Calibri" w:hAnsi="Arial" w:cs="Arial"/>
                <w:i/>
                <w:noProof/>
                <w:sz w:val="16"/>
                <w:szCs w:val="16"/>
              </w:rPr>
            </w:pPr>
          </w:p>
        </w:tc>
        <w:tc>
          <w:tcPr>
            <w:tcW w:w="318" w:type="pct"/>
            <w:tcBorders>
              <w:top w:val="single" w:sz="4" w:space="0" w:color="auto"/>
              <w:left w:val="single" w:sz="4" w:space="0" w:color="auto"/>
              <w:bottom w:val="single" w:sz="4" w:space="0" w:color="auto"/>
              <w:right w:val="single" w:sz="4" w:space="0" w:color="auto"/>
            </w:tcBorders>
          </w:tcPr>
          <w:p w:rsidR="00FF2EC0" w:rsidRPr="001D50E3" w:rsidRDefault="00FF2EC0" w:rsidP="00754C28">
            <w:pPr>
              <w:spacing w:after="60"/>
              <w:jc w:val="both"/>
              <w:rPr>
                <w:rFonts w:ascii="Arial" w:eastAsia="Calibri" w:hAnsi="Arial" w:cs="Arial"/>
                <w:i/>
                <w:noProof/>
                <w:sz w:val="16"/>
                <w:szCs w:val="16"/>
              </w:rPr>
            </w:pPr>
          </w:p>
        </w:tc>
        <w:tc>
          <w:tcPr>
            <w:tcW w:w="308" w:type="pct"/>
            <w:tcBorders>
              <w:top w:val="single" w:sz="4" w:space="0" w:color="auto"/>
              <w:left w:val="single" w:sz="4" w:space="0" w:color="auto"/>
              <w:bottom w:val="single" w:sz="4" w:space="0" w:color="auto"/>
              <w:right w:val="single" w:sz="4" w:space="0" w:color="auto"/>
            </w:tcBorders>
          </w:tcPr>
          <w:p w:rsidR="00FF2EC0" w:rsidRPr="001D50E3" w:rsidRDefault="00FF2EC0" w:rsidP="00754C28">
            <w:pPr>
              <w:spacing w:after="60"/>
              <w:jc w:val="both"/>
              <w:rPr>
                <w:rFonts w:ascii="Arial" w:eastAsia="Calibri" w:hAnsi="Arial" w:cs="Arial"/>
                <w:i/>
                <w:noProof/>
                <w:sz w:val="16"/>
                <w:szCs w:val="16"/>
              </w:rPr>
            </w:pPr>
          </w:p>
        </w:tc>
        <w:tc>
          <w:tcPr>
            <w:tcW w:w="314" w:type="pct"/>
            <w:gridSpan w:val="2"/>
            <w:tcBorders>
              <w:top w:val="single" w:sz="4" w:space="0" w:color="auto"/>
              <w:left w:val="single" w:sz="4" w:space="0" w:color="auto"/>
              <w:bottom w:val="single" w:sz="4" w:space="0" w:color="auto"/>
              <w:right w:val="single" w:sz="4" w:space="0" w:color="auto"/>
            </w:tcBorders>
          </w:tcPr>
          <w:p w:rsidR="00FF2EC0" w:rsidRPr="001D50E3" w:rsidRDefault="00FF2EC0" w:rsidP="00754C28">
            <w:pPr>
              <w:spacing w:after="60"/>
              <w:jc w:val="both"/>
              <w:rPr>
                <w:rFonts w:ascii="Arial" w:eastAsia="Calibri" w:hAnsi="Arial" w:cs="Arial"/>
                <w:i/>
                <w:noProof/>
                <w:sz w:val="16"/>
                <w:szCs w:val="16"/>
              </w:rPr>
            </w:pPr>
          </w:p>
        </w:tc>
      </w:tr>
      <w:tr w:rsidR="00FF2EC0" w:rsidRPr="001D50E3" w:rsidTr="001D50E3">
        <w:tblPrEx>
          <w:jc w:val="left"/>
        </w:tblPrEx>
        <w:trPr>
          <w:gridAfter w:val="1"/>
          <w:wAfter w:w="200" w:type="pct"/>
        </w:trPr>
        <w:tc>
          <w:tcPr>
            <w:tcW w:w="857" w:type="pct"/>
            <w:gridSpan w:val="2"/>
            <w:tcBorders>
              <w:top w:val="single" w:sz="4" w:space="0" w:color="auto"/>
              <w:left w:val="single" w:sz="4" w:space="0" w:color="auto"/>
              <w:bottom w:val="single" w:sz="4" w:space="0" w:color="auto"/>
              <w:right w:val="single" w:sz="4" w:space="0" w:color="auto"/>
            </w:tcBorders>
          </w:tcPr>
          <w:p w:rsidR="00FF2EC0" w:rsidRPr="001D50E3" w:rsidRDefault="00FF2EC0" w:rsidP="00754C28">
            <w:pPr>
              <w:spacing w:after="160"/>
              <w:jc w:val="both"/>
              <w:rPr>
                <w:rFonts w:ascii="Arial" w:eastAsia="Calibri" w:hAnsi="Arial" w:cs="Arial"/>
                <w:i/>
                <w:noProof/>
                <w:sz w:val="16"/>
                <w:szCs w:val="16"/>
              </w:rPr>
            </w:pPr>
          </w:p>
        </w:tc>
        <w:tc>
          <w:tcPr>
            <w:tcW w:w="501" w:type="pct"/>
            <w:gridSpan w:val="2"/>
            <w:tcBorders>
              <w:top w:val="single" w:sz="4" w:space="0" w:color="auto"/>
              <w:left w:val="single" w:sz="4" w:space="0" w:color="auto"/>
              <w:bottom w:val="single" w:sz="4" w:space="0" w:color="auto"/>
              <w:right w:val="single" w:sz="4" w:space="0" w:color="auto"/>
            </w:tcBorders>
            <w:hideMark/>
          </w:tcPr>
          <w:p w:rsidR="00FF2EC0" w:rsidRPr="001D50E3" w:rsidRDefault="00FF2EC0" w:rsidP="00754C28">
            <w:pPr>
              <w:spacing w:after="160"/>
              <w:jc w:val="both"/>
              <w:rPr>
                <w:rFonts w:ascii="Arial" w:eastAsia="Calibri" w:hAnsi="Arial" w:cs="Arial"/>
                <w:i/>
                <w:noProof/>
                <w:sz w:val="16"/>
                <w:szCs w:val="16"/>
                <w:lang w:val="sq-AL"/>
              </w:rPr>
            </w:pPr>
            <w:r w:rsidRPr="001D50E3">
              <w:rPr>
                <w:rFonts w:ascii="Arial" w:eastAsia="Calibri" w:hAnsi="Arial" w:cs="Arial"/>
                <w:i/>
                <w:noProof/>
                <w:sz w:val="16"/>
                <w:szCs w:val="16"/>
                <w:lang w:val="sq-AL"/>
              </w:rPr>
              <w:t>Intwereg fonde</w:t>
            </w:r>
          </w:p>
        </w:tc>
        <w:tc>
          <w:tcPr>
            <w:tcW w:w="592" w:type="pct"/>
            <w:tcBorders>
              <w:top w:val="single" w:sz="4" w:space="0" w:color="auto"/>
              <w:left w:val="single" w:sz="4" w:space="0" w:color="auto"/>
              <w:bottom w:val="single" w:sz="4" w:space="0" w:color="auto"/>
              <w:right w:val="single" w:sz="4" w:space="0" w:color="auto"/>
            </w:tcBorders>
          </w:tcPr>
          <w:p w:rsidR="00FF2EC0" w:rsidRPr="001D50E3" w:rsidRDefault="00FF2EC0" w:rsidP="00754C28">
            <w:pPr>
              <w:spacing w:after="60"/>
              <w:jc w:val="both"/>
              <w:rPr>
                <w:rFonts w:ascii="Arial" w:eastAsia="Calibri" w:hAnsi="Arial" w:cs="Arial"/>
                <w:i/>
                <w:noProof/>
                <w:sz w:val="16"/>
                <w:szCs w:val="16"/>
              </w:rPr>
            </w:pPr>
          </w:p>
        </w:tc>
        <w:tc>
          <w:tcPr>
            <w:tcW w:w="410" w:type="pct"/>
            <w:tcBorders>
              <w:top w:val="single" w:sz="4" w:space="0" w:color="auto"/>
              <w:left w:val="single" w:sz="4" w:space="0" w:color="auto"/>
              <w:bottom w:val="single" w:sz="4" w:space="0" w:color="auto"/>
              <w:right w:val="single" w:sz="4" w:space="0" w:color="auto"/>
            </w:tcBorders>
          </w:tcPr>
          <w:p w:rsidR="00FF2EC0" w:rsidRPr="001D50E3" w:rsidRDefault="00FF2EC0" w:rsidP="00754C28">
            <w:pPr>
              <w:spacing w:after="60"/>
              <w:jc w:val="both"/>
              <w:rPr>
                <w:rFonts w:ascii="Arial" w:eastAsia="Calibri" w:hAnsi="Arial" w:cs="Arial"/>
                <w:i/>
                <w:noProof/>
                <w:sz w:val="16"/>
                <w:szCs w:val="16"/>
              </w:rPr>
            </w:pPr>
          </w:p>
        </w:tc>
        <w:tc>
          <w:tcPr>
            <w:tcW w:w="410" w:type="pct"/>
            <w:tcBorders>
              <w:top w:val="single" w:sz="4" w:space="0" w:color="auto"/>
              <w:left w:val="single" w:sz="4" w:space="0" w:color="auto"/>
              <w:bottom w:val="single" w:sz="4" w:space="0" w:color="auto"/>
              <w:right w:val="single" w:sz="4" w:space="0" w:color="auto"/>
            </w:tcBorders>
          </w:tcPr>
          <w:p w:rsidR="00FF2EC0" w:rsidRPr="001D50E3" w:rsidRDefault="00FF2EC0" w:rsidP="00754C28">
            <w:pPr>
              <w:spacing w:after="60"/>
              <w:jc w:val="both"/>
              <w:rPr>
                <w:rFonts w:ascii="Arial" w:eastAsia="Calibri" w:hAnsi="Arial" w:cs="Arial"/>
                <w:i/>
                <w:noProof/>
                <w:sz w:val="16"/>
                <w:szCs w:val="16"/>
              </w:rPr>
            </w:pPr>
          </w:p>
        </w:tc>
        <w:tc>
          <w:tcPr>
            <w:tcW w:w="364" w:type="pct"/>
            <w:tcBorders>
              <w:top w:val="single" w:sz="4" w:space="0" w:color="auto"/>
              <w:left w:val="single" w:sz="4" w:space="0" w:color="auto"/>
              <w:bottom w:val="single" w:sz="4" w:space="0" w:color="auto"/>
              <w:right w:val="single" w:sz="4" w:space="0" w:color="auto"/>
            </w:tcBorders>
          </w:tcPr>
          <w:p w:rsidR="00FF2EC0" w:rsidRPr="001D50E3" w:rsidRDefault="00FF2EC0" w:rsidP="00754C28">
            <w:pPr>
              <w:spacing w:after="60"/>
              <w:jc w:val="both"/>
              <w:rPr>
                <w:rFonts w:ascii="Arial" w:eastAsia="Calibri" w:hAnsi="Arial" w:cs="Arial"/>
                <w:i/>
                <w:noProof/>
                <w:sz w:val="16"/>
                <w:szCs w:val="16"/>
              </w:rPr>
            </w:pPr>
          </w:p>
        </w:tc>
        <w:tc>
          <w:tcPr>
            <w:tcW w:w="410" w:type="pct"/>
            <w:tcBorders>
              <w:top w:val="single" w:sz="4" w:space="0" w:color="auto"/>
              <w:left w:val="single" w:sz="4" w:space="0" w:color="auto"/>
              <w:bottom w:val="single" w:sz="4" w:space="0" w:color="auto"/>
              <w:right w:val="single" w:sz="4" w:space="0" w:color="auto"/>
            </w:tcBorders>
          </w:tcPr>
          <w:p w:rsidR="00FF2EC0" w:rsidRPr="001D50E3" w:rsidRDefault="00FF2EC0" w:rsidP="00754C28">
            <w:pPr>
              <w:spacing w:after="60"/>
              <w:jc w:val="both"/>
              <w:rPr>
                <w:rFonts w:ascii="Arial" w:eastAsia="Calibri" w:hAnsi="Arial" w:cs="Arial"/>
                <w:i/>
                <w:noProof/>
                <w:sz w:val="16"/>
                <w:szCs w:val="16"/>
              </w:rPr>
            </w:pPr>
          </w:p>
        </w:tc>
        <w:tc>
          <w:tcPr>
            <w:tcW w:w="317" w:type="pct"/>
            <w:tcBorders>
              <w:top w:val="single" w:sz="4" w:space="0" w:color="auto"/>
              <w:left w:val="single" w:sz="4" w:space="0" w:color="auto"/>
              <w:bottom w:val="single" w:sz="4" w:space="0" w:color="auto"/>
              <w:right w:val="single" w:sz="4" w:space="0" w:color="auto"/>
            </w:tcBorders>
          </w:tcPr>
          <w:p w:rsidR="00FF2EC0" w:rsidRPr="001D50E3" w:rsidRDefault="00FF2EC0" w:rsidP="00754C28">
            <w:pPr>
              <w:spacing w:after="60"/>
              <w:jc w:val="both"/>
              <w:rPr>
                <w:rFonts w:ascii="Arial" w:eastAsia="Calibri" w:hAnsi="Arial" w:cs="Arial"/>
                <w:i/>
                <w:noProof/>
                <w:sz w:val="16"/>
                <w:szCs w:val="16"/>
              </w:rPr>
            </w:pPr>
          </w:p>
        </w:tc>
        <w:tc>
          <w:tcPr>
            <w:tcW w:w="318" w:type="pct"/>
            <w:tcBorders>
              <w:top w:val="single" w:sz="4" w:space="0" w:color="auto"/>
              <w:left w:val="single" w:sz="4" w:space="0" w:color="auto"/>
              <w:bottom w:val="single" w:sz="4" w:space="0" w:color="auto"/>
              <w:right w:val="single" w:sz="4" w:space="0" w:color="auto"/>
            </w:tcBorders>
          </w:tcPr>
          <w:p w:rsidR="00FF2EC0" w:rsidRPr="001D50E3" w:rsidRDefault="00FF2EC0" w:rsidP="00754C28">
            <w:pPr>
              <w:spacing w:after="60"/>
              <w:jc w:val="both"/>
              <w:rPr>
                <w:rFonts w:ascii="Arial" w:eastAsia="Calibri" w:hAnsi="Arial" w:cs="Arial"/>
                <w:i/>
                <w:noProof/>
                <w:sz w:val="16"/>
                <w:szCs w:val="16"/>
              </w:rPr>
            </w:pPr>
          </w:p>
        </w:tc>
        <w:tc>
          <w:tcPr>
            <w:tcW w:w="308" w:type="pct"/>
            <w:tcBorders>
              <w:top w:val="single" w:sz="4" w:space="0" w:color="auto"/>
              <w:left w:val="single" w:sz="4" w:space="0" w:color="auto"/>
              <w:bottom w:val="single" w:sz="4" w:space="0" w:color="auto"/>
              <w:right w:val="single" w:sz="4" w:space="0" w:color="auto"/>
            </w:tcBorders>
          </w:tcPr>
          <w:p w:rsidR="00FF2EC0" w:rsidRPr="001D50E3" w:rsidRDefault="00FF2EC0" w:rsidP="00754C28">
            <w:pPr>
              <w:spacing w:after="60"/>
              <w:jc w:val="both"/>
              <w:rPr>
                <w:rFonts w:ascii="Arial" w:eastAsia="Calibri" w:hAnsi="Arial" w:cs="Arial"/>
                <w:i/>
                <w:noProof/>
                <w:sz w:val="16"/>
                <w:szCs w:val="16"/>
              </w:rPr>
            </w:pPr>
          </w:p>
        </w:tc>
        <w:tc>
          <w:tcPr>
            <w:tcW w:w="314" w:type="pct"/>
            <w:gridSpan w:val="2"/>
            <w:tcBorders>
              <w:top w:val="single" w:sz="4" w:space="0" w:color="auto"/>
              <w:left w:val="single" w:sz="4" w:space="0" w:color="auto"/>
              <w:bottom w:val="single" w:sz="4" w:space="0" w:color="auto"/>
              <w:right w:val="single" w:sz="4" w:space="0" w:color="auto"/>
            </w:tcBorders>
          </w:tcPr>
          <w:p w:rsidR="00FF2EC0" w:rsidRPr="001D50E3" w:rsidRDefault="00FF2EC0" w:rsidP="00754C28">
            <w:pPr>
              <w:spacing w:after="60"/>
              <w:jc w:val="both"/>
              <w:rPr>
                <w:rFonts w:ascii="Arial" w:eastAsia="Calibri" w:hAnsi="Arial" w:cs="Arial"/>
                <w:i/>
                <w:noProof/>
                <w:sz w:val="16"/>
                <w:szCs w:val="16"/>
              </w:rPr>
            </w:pPr>
          </w:p>
        </w:tc>
      </w:tr>
      <w:tr w:rsidR="00FF2EC0" w:rsidRPr="001D50E3" w:rsidTr="001D50E3">
        <w:tblPrEx>
          <w:jc w:val="left"/>
        </w:tblPrEx>
        <w:trPr>
          <w:gridAfter w:val="1"/>
          <w:wAfter w:w="200" w:type="pct"/>
        </w:trPr>
        <w:tc>
          <w:tcPr>
            <w:tcW w:w="857" w:type="pct"/>
            <w:gridSpan w:val="2"/>
            <w:tcBorders>
              <w:top w:val="single" w:sz="4" w:space="0" w:color="auto"/>
              <w:left w:val="single" w:sz="4" w:space="0" w:color="auto"/>
              <w:bottom w:val="single" w:sz="4" w:space="0" w:color="auto"/>
              <w:right w:val="single" w:sz="4" w:space="0" w:color="auto"/>
            </w:tcBorders>
            <w:hideMark/>
          </w:tcPr>
          <w:p w:rsidR="00FF2EC0" w:rsidRPr="001D50E3" w:rsidRDefault="00FF2EC0" w:rsidP="00754C28">
            <w:pPr>
              <w:spacing w:after="160"/>
              <w:jc w:val="both"/>
              <w:rPr>
                <w:rFonts w:ascii="Arial" w:eastAsia="Calibri" w:hAnsi="Arial" w:cs="Arial"/>
                <w:i/>
                <w:noProof/>
                <w:sz w:val="16"/>
                <w:szCs w:val="16"/>
                <w:lang w:val="sq-AL"/>
              </w:rPr>
            </w:pPr>
            <w:r w:rsidRPr="001D50E3">
              <w:rPr>
                <w:rFonts w:ascii="Arial" w:eastAsia="Calibri" w:hAnsi="Arial" w:cs="Arial"/>
                <w:i/>
                <w:noProof/>
                <w:sz w:val="16"/>
                <w:szCs w:val="16"/>
                <w:lang w:val="sq-AL"/>
              </w:rPr>
              <w:t>Gjithsejt</w:t>
            </w:r>
          </w:p>
        </w:tc>
        <w:tc>
          <w:tcPr>
            <w:tcW w:w="501" w:type="pct"/>
            <w:gridSpan w:val="2"/>
            <w:tcBorders>
              <w:top w:val="single" w:sz="4" w:space="0" w:color="auto"/>
              <w:left w:val="single" w:sz="4" w:space="0" w:color="auto"/>
              <w:bottom w:val="single" w:sz="4" w:space="0" w:color="auto"/>
              <w:right w:val="single" w:sz="4" w:space="0" w:color="auto"/>
            </w:tcBorders>
            <w:hideMark/>
          </w:tcPr>
          <w:p w:rsidR="00FF2EC0" w:rsidRPr="001D50E3" w:rsidRDefault="00FF2EC0" w:rsidP="00754C28">
            <w:pPr>
              <w:spacing w:after="160"/>
              <w:jc w:val="both"/>
              <w:rPr>
                <w:rFonts w:ascii="Arial" w:eastAsia="Calibri" w:hAnsi="Arial" w:cs="Arial"/>
                <w:i/>
                <w:noProof/>
                <w:sz w:val="16"/>
                <w:szCs w:val="16"/>
                <w:lang w:val="sq-AL"/>
              </w:rPr>
            </w:pPr>
            <w:r w:rsidRPr="001D50E3">
              <w:rPr>
                <w:rFonts w:ascii="Arial" w:eastAsia="Calibri" w:hAnsi="Arial" w:cs="Arial"/>
                <w:i/>
                <w:noProof/>
                <w:sz w:val="16"/>
                <w:szCs w:val="16"/>
                <w:lang w:val="sq-AL"/>
              </w:rPr>
              <w:t>Te gjtiha fondet</w:t>
            </w:r>
          </w:p>
        </w:tc>
        <w:tc>
          <w:tcPr>
            <w:tcW w:w="592" w:type="pct"/>
            <w:tcBorders>
              <w:top w:val="single" w:sz="4" w:space="0" w:color="auto"/>
              <w:left w:val="single" w:sz="4" w:space="0" w:color="auto"/>
              <w:bottom w:val="single" w:sz="4" w:space="0" w:color="auto"/>
              <w:right w:val="single" w:sz="4" w:space="0" w:color="auto"/>
            </w:tcBorders>
            <w:hideMark/>
          </w:tcPr>
          <w:p w:rsidR="00FF2EC0" w:rsidRPr="001D50E3" w:rsidRDefault="00FF2EC0" w:rsidP="00754C28">
            <w:pPr>
              <w:spacing w:after="60"/>
              <w:jc w:val="both"/>
              <w:rPr>
                <w:rFonts w:ascii="Arial" w:eastAsia="Calibri" w:hAnsi="Arial" w:cs="Arial"/>
                <w:i/>
                <w:noProof/>
                <w:sz w:val="16"/>
                <w:szCs w:val="16"/>
              </w:rPr>
            </w:pPr>
            <w:r w:rsidRPr="001D50E3">
              <w:rPr>
                <w:rFonts w:ascii="Arial" w:eastAsia="Calibri" w:hAnsi="Arial" w:cs="Arial"/>
                <w:i/>
                <w:noProof/>
                <w:sz w:val="16"/>
                <w:szCs w:val="16"/>
              </w:rPr>
              <w:t>Вкупни прифатли</w:t>
            </w:r>
            <w:r w:rsidRPr="001D50E3">
              <w:rPr>
                <w:rFonts w:ascii="Arial" w:eastAsia="Calibri" w:hAnsi="Arial" w:cs="Arial"/>
                <w:i/>
                <w:noProof/>
                <w:sz w:val="16"/>
                <w:szCs w:val="16"/>
                <w:lang w:val="mk-MK"/>
              </w:rPr>
              <w:t>-</w:t>
            </w:r>
            <w:r w:rsidRPr="001D50E3">
              <w:rPr>
                <w:rFonts w:ascii="Arial" w:eastAsia="Calibri" w:hAnsi="Arial" w:cs="Arial"/>
                <w:i/>
                <w:noProof/>
                <w:sz w:val="16"/>
                <w:szCs w:val="16"/>
              </w:rPr>
              <w:t>ви трошоци</w:t>
            </w:r>
          </w:p>
        </w:tc>
        <w:tc>
          <w:tcPr>
            <w:tcW w:w="410" w:type="pct"/>
            <w:tcBorders>
              <w:top w:val="single" w:sz="4" w:space="0" w:color="auto"/>
              <w:left w:val="single" w:sz="4" w:space="0" w:color="auto"/>
              <w:bottom w:val="single" w:sz="4" w:space="0" w:color="auto"/>
              <w:right w:val="single" w:sz="4" w:space="0" w:color="auto"/>
            </w:tcBorders>
            <w:hideMark/>
          </w:tcPr>
          <w:p w:rsidR="00FF2EC0" w:rsidRPr="001D50E3" w:rsidRDefault="00FF2EC0" w:rsidP="00754C28">
            <w:pPr>
              <w:spacing w:after="60"/>
              <w:jc w:val="both"/>
              <w:rPr>
                <w:rFonts w:ascii="Arial" w:eastAsia="Calibri" w:hAnsi="Arial" w:cs="Arial"/>
                <w:i/>
                <w:noProof/>
                <w:sz w:val="16"/>
                <w:szCs w:val="16"/>
              </w:rPr>
            </w:pPr>
            <w:r w:rsidRPr="001D50E3">
              <w:rPr>
                <w:rFonts w:ascii="Arial" w:eastAsia="Calibri" w:hAnsi="Arial" w:cs="Arial"/>
                <w:i/>
                <w:noProof/>
                <w:sz w:val="16"/>
                <w:szCs w:val="16"/>
              </w:rPr>
              <w:t>26 479 540,00</w:t>
            </w:r>
          </w:p>
        </w:tc>
        <w:tc>
          <w:tcPr>
            <w:tcW w:w="410" w:type="pct"/>
            <w:tcBorders>
              <w:top w:val="single" w:sz="4" w:space="0" w:color="auto"/>
              <w:left w:val="single" w:sz="4" w:space="0" w:color="auto"/>
              <w:bottom w:val="single" w:sz="4" w:space="0" w:color="auto"/>
              <w:right w:val="single" w:sz="4" w:space="0" w:color="auto"/>
            </w:tcBorders>
            <w:hideMark/>
          </w:tcPr>
          <w:p w:rsidR="00FF2EC0" w:rsidRPr="001D50E3" w:rsidRDefault="00FF2EC0" w:rsidP="00754C28">
            <w:pPr>
              <w:spacing w:after="60"/>
              <w:jc w:val="both"/>
              <w:rPr>
                <w:rFonts w:ascii="Arial" w:eastAsia="Calibri" w:hAnsi="Arial" w:cs="Arial"/>
                <w:i/>
                <w:noProof/>
                <w:sz w:val="16"/>
                <w:szCs w:val="16"/>
              </w:rPr>
            </w:pPr>
            <w:r w:rsidRPr="001D50E3">
              <w:rPr>
                <w:rFonts w:ascii="Arial" w:eastAsia="Calibri" w:hAnsi="Arial" w:cs="Arial"/>
                <w:i/>
                <w:noProof/>
                <w:sz w:val="16"/>
                <w:szCs w:val="16"/>
              </w:rPr>
              <w:t>24 072 309,10</w:t>
            </w:r>
          </w:p>
        </w:tc>
        <w:tc>
          <w:tcPr>
            <w:tcW w:w="364" w:type="pct"/>
            <w:tcBorders>
              <w:top w:val="single" w:sz="4" w:space="0" w:color="auto"/>
              <w:left w:val="single" w:sz="4" w:space="0" w:color="auto"/>
              <w:bottom w:val="single" w:sz="4" w:space="0" w:color="auto"/>
              <w:right w:val="single" w:sz="4" w:space="0" w:color="auto"/>
            </w:tcBorders>
            <w:hideMark/>
          </w:tcPr>
          <w:p w:rsidR="00FF2EC0" w:rsidRPr="001D50E3" w:rsidRDefault="00FF2EC0" w:rsidP="00754C28">
            <w:pPr>
              <w:spacing w:after="60"/>
              <w:jc w:val="both"/>
              <w:rPr>
                <w:rFonts w:ascii="Arial" w:eastAsia="Calibri" w:hAnsi="Arial" w:cs="Arial"/>
                <w:i/>
                <w:noProof/>
                <w:sz w:val="16"/>
                <w:szCs w:val="16"/>
              </w:rPr>
            </w:pPr>
            <w:r w:rsidRPr="001D50E3">
              <w:rPr>
                <w:rFonts w:ascii="Arial" w:eastAsia="Calibri" w:hAnsi="Arial" w:cs="Arial"/>
                <w:i/>
                <w:noProof/>
                <w:sz w:val="16"/>
                <w:szCs w:val="16"/>
              </w:rPr>
              <w:t>2 407 230,90</w:t>
            </w:r>
          </w:p>
        </w:tc>
        <w:tc>
          <w:tcPr>
            <w:tcW w:w="410" w:type="pct"/>
            <w:tcBorders>
              <w:top w:val="single" w:sz="4" w:space="0" w:color="auto"/>
              <w:left w:val="single" w:sz="4" w:space="0" w:color="auto"/>
              <w:bottom w:val="single" w:sz="4" w:space="0" w:color="auto"/>
              <w:right w:val="single" w:sz="4" w:space="0" w:color="auto"/>
            </w:tcBorders>
            <w:hideMark/>
          </w:tcPr>
          <w:p w:rsidR="00FF2EC0" w:rsidRPr="001D50E3" w:rsidRDefault="00FF2EC0" w:rsidP="00754C28">
            <w:pPr>
              <w:spacing w:after="60"/>
              <w:jc w:val="both"/>
              <w:rPr>
                <w:rFonts w:ascii="Arial" w:eastAsia="Calibri" w:hAnsi="Arial" w:cs="Arial"/>
                <w:i/>
                <w:noProof/>
                <w:sz w:val="16"/>
                <w:szCs w:val="16"/>
              </w:rPr>
            </w:pPr>
            <w:r w:rsidRPr="001D50E3">
              <w:rPr>
                <w:rFonts w:ascii="Arial" w:eastAsia="Calibri" w:hAnsi="Arial" w:cs="Arial"/>
                <w:i/>
                <w:noProof/>
                <w:sz w:val="16"/>
                <w:szCs w:val="16"/>
              </w:rPr>
              <w:t>4 672 860,05</w:t>
            </w:r>
          </w:p>
        </w:tc>
        <w:tc>
          <w:tcPr>
            <w:tcW w:w="317" w:type="pct"/>
            <w:tcBorders>
              <w:top w:val="single" w:sz="4" w:space="0" w:color="auto"/>
              <w:left w:val="single" w:sz="4" w:space="0" w:color="auto"/>
              <w:bottom w:val="single" w:sz="4" w:space="0" w:color="auto"/>
              <w:right w:val="single" w:sz="4" w:space="0" w:color="auto"/>
            </w:tcBorders>
            <w:hideMark/>
          </w:tcPr>
          <w:p w:rsidR="00FF2EC0" w:rsidRPr="001D50E3" w:rsidRDefault="00FF2EC0" w:rsidP="00754C28">
            <w:pPr>
              <w:spacing w:after="60"/>
              <w:jc w:val="both"/>
              <w:rPr>
                <w:rFonts w:ascii="Arial" w:eastAsia="Calibri" w:hAnsi="Arial" w:cs="Arial"/>
                <w:i/>
                <w:noProof/>
                <w:sz w:val="16"/>
                <w:szCs w:val="16"/>
              </w:rPr>
            </w:pPr>
            <w:r w:rsidRPr="001D50E3">
              <w:rPr>
                <w:rFonts w:ascii="Arial" w:eastAsia="Calibri" w:hAnsi="Arial" w:cs="Arial"/>
                <w:i/>
                <w:noProof/>
                <w:sz w:val="16"/>
                <w:szCs w:val="16"/>
              </w:rPr>
              <w:t>2 336 430,04</w:t>
            </w:r>
          </w:p>
        </w:tc>
        <w:tc>
          <w:tcPr>
            <w:tcW w:w="318" w:type="pct"/>
            <w:tcBorders>
              <w:top w:val="single" w:sz="4" w:space="0" w:color="auto"/>
              <w:left w:val="single" w:sz="4" w:space="0" w:color="auto"/>
              <w:bottom w:val="single" w:sz="4" w:space="0" w:color="auto"/>
              <w:right w:val="single" w:sz="4" w:space="0" w:color="auto"/>
            </w:tcBorders>
            <w:hideMark/>
          </w:tcPr>
          <w:p w:rsidR="00FF2EC0" w:rsidRPr="001D50E3" w:rsidRDefault="00FF2EC0" w:rsidP="00754C28">
            <w:pPr>
              <w:spacing w:after="60"/>
              <w:jc w:val="both"/>
              <w:rPr>
                <w:rFonts w:ascii="Arial" w:eastAsia="Calibri" w:hAnsi="Arial" w:cs="Arial"/>
                <w:i/>
                <w:noProof/>
                <w:sz w:val="16"/>
                <w:szCs w:val="16"/>
              </w:rPr>
            </w:pPr>
            <w:r w:rsidRPr="001D50E3">
              <w:rPr>
                <w:rFonts w:ascii="Arial" w:eastAsia="Calibri" w:hAnsi="Arial" w:cs="Arial"/>
                <w:i/>
                <w:noProof/>
                <w:sz w:val="16"/>
                <w:szCs w:val="16"/>
              </w:rPr>
              <w:t>2 336 430,02</w:t>
            </w:r>
          </w:p>
        </w:tc>
        <w:tc>
          <w:tcPr>
            <w:tcW w:w="308" w:type="pct"/>
            <w:tcBorders>
              <w:top w:val="single" w:sz="4" w:space="0" w:color="auto"/>
              <w:left w:val="single" w:sz="4" w:space="0" w:color="auto"/>
              <w:bottom w:val="single" w:sz="4" w:space="0" w:color="auto"/>
              <w:right w:val="single" w:sz="4" w:space="0" w:color="auto"/>
            </w:tcBorders>
            <w:hideMark/>
          </w:tcPr>
          <w:p w:rsidR="00FF2EC0" w:rsidRPr="001D50E3" w:rsidRDefault="00FF2EC0" w:rsidP="00754C28">
            <w:pPr>
              <w:spacing w:after="60"/>
              <w:jc w:val="both"/>
              <w:rPr>
                <w:rFonts w:ascii="Arial" w:eastAsia="Calibri" w:hAnsi="Arial" w:cs="Arial"/>
                <w:i/>
                <w:noProof/>
                <w:sz w:val="16"/>
                <w:szCs w:val="16"/>
              </w:rPr>
            </w:pPr>
            <w:r w:rsidRPr="001D50E3">
              <w:rPr>
                <w:rFonts w:ascii="Arial" w:eastAsia="Calibri" w:hAnsi="Arial" w:cs="Arial"/>
                <w:i/>
                <w:noProof/>
                <w:sz w:val="16"/>
                <w:szCs w:val="16"/>
              </w:rPr>
              <w:t>31 152 400,05</w:t>
            </w:r>
          </w:p>
        </w:tc>
        <w:tc>
          <w:tcPr>
            <w:tcW w:w="314" w:type="pct"/>
            <w:gridSpan w:val="2"/>
            <w:tcBorders>
              <w:top w:val="single" w:sz="4" w:space="0" w:color="auto"/>
              <w:left w:val="single" w:sz="4" w:space="0" w:color="auto"/>
              <w:bottom w:val="single" w:sz="4" w:space="0" w:color="auto"/>
              <w:right w:val="single" w:sz="4" w:space="0" w:color="auto"/>
            </w:tcBorders>
            <w:hideMark/>
          </w:tcPr>
          <w:p w:rsidR="00FF2EC0" w:rsidRPr="001D50E3" w:rsidRDefault="00FF2EC0" w:rsidP="00754C28">
            <w:pPr>
              <w:spacing w:after="60"/>
              <w:jc w:val="both"/>
              <w:rPr>
                <w:rFonts w:ascii="Arial" w:eastAsia="Calibri" w:hAnsi="Arial" w:cs="Arial"/>
                <w:i/>
                <w:noProof/>
                <w:sz w:val="16"/>
                <w:szCs w:val="16"/>
              </w:rPr>
            </w:pPr>
            <w:r w:rsidRPr="001D50E3">
              <w:rPr>
                <w:rFonts w:ascii="Arial" w:eastAsia="Calibri" w:hAnsi="Arial" w:cs="Arial"/>
                <w:i/>
                <w:noProof/>
                <w:sz w:val="16"/>
                <w:szCs w:val="16"/>
              </w:rPr>
              <w:t>0,85</w:t>
            </w:r>
          </w:p>
        </w:tc>
      </w:tr>
    </w:tbl>
    <w:p w:rsidR="008768C7" w:rsidRDefault="008768C7" w:rsidP="00FF2EC0">
      <w:pPr>
        <w:jc w:val="both"/>
        <w:rPr>
          <w:rFonts w:ascii="Arial" w:hAnsi="Arial" w:cs="Arial"/>
          <w:b/>
          <w:lang w:val="sq-AL"/>
        </w:rPr>
      </w:pPr>
    </w:p>
    <w:p w:rsidR="00FF2EC0" w:rsidRPr="001D50E3" w:rsidRDefault="00FF2EC0" w:rsidP="008768C7">
      <w:pPr>
        <w:spacing w:line="276" w:lineRule="auto"/>
        <w:jc w:val="both"/>
        <w:rPr>
          <w:rFonts w:ascii="Arial" w:hAnsi="Arial" w:cs="Arial"/>
          <w:b/>
          <w:lang w:val="sq-AL"/>
        </w:rPr>
      </w:pPr>
      <w:r w:rsidRPr="001D50E3">
        <w:rPr>
          <w:rFonts w:ascii="Arial" w:hAnsi="Arial" w:cs="Arial"/>
          <w:b/>
          <w:lang w:val="sq-AL"/>
        </w:rPr>
        <w:t>4. Aktivitetet e ndërmarra për përfshirjen e partnerëve përkatës të programit në përgatitjen e programit INTERREG dhe rolin e këtyre partnerëve të programit në zbatimin, monitorimin dhe vlerësimin.</w:t>
      </w:r>
    </w:p>
    <w:p w:rsidR="00FF2EC0" w:rsidRPr="001D50E3" w:rsidRDefault="00FF2EC0" w:rsidP="008768C7">
      <w:pPr>
        <w:spacing w:line="276" w:lineRule="auto"/>
        <w:jc w:val="both"/>
        <w:rPr>
          <w:rFonts w:ascii="Arial" w:hAnsi="Arial" w:cs="Arial"/>
          <w:u w:val="single"/>
          <w:lang w:val="sq-AL"/>
        </w:rPr>
      </w:pPr>
      <w:r w:rsidRPr="001D50E3">
        <w:rPr>
          <w:rFonts w:ascii="Arial" w:hAnsi="Arial" w:cs="Arial"/>
          <w:u w:val="single"/>
          <w:lang w:val="sq-AL"/>
        </w:rPr>
        <w:t>Referenca: pika (g) e nenit 17 (3)</w:t>
      </w:r>
    </w:p>
    <w:p w:rsidR="00FF2EC0" w:rsidRPr="001D50E3" w:rsidRDefault="00FF2EC0" w:rsidP="008768C7">
      <w:pPr>
        <w:spacing w:line="276" w:lineRule="auto"/>
        <w:jc w:val="both"/>
        <w:rPr>
          <w:rFonts w:ascii="Arial" w:hAnsi="Arial" w:cs="Arial"/>
          <w:u w:val="single"/>
          <w:lang w:val="sq-AL"/>
        </w:rPr>
      </w:pPr>
      <w:r w:rsidRPr="001D50E3">
        <w:rPr>
          <w:rFonts w:ascii="Arial" w:hAnsi="Arial" w:cs="Arial"/>
          <w:u w:val="single"/>
          <w:lang w:val="sq-AL"/>
        </w:rPr>
        <w:t>Fusha e tekstit [10,000]</w:t>
      </w:r>
    </w:p>
    <w:p w:rsidR="00FF2EC0" w:rsidRPr="001D50E3" w:rsidRDefault="00FF2EC0" w:rsidP="008768C7">
      <w:pPr>
        <w:spacing w:line="276" w:lineRule="auto"/>
        <w:jc w:val="both"/>
        <w:rPr>
          <w:rFonts w:ascii="Arial" w:hAnsi="Arial" w:cs="Arial"/>
          <w:u w:val="single"/>
          <w:lang w:val="sq-AL"/>
        </w:rPr>
      </w:pPr>
      <w:r w:rsidRPr="001D50E3">
        <w:rPr>
          <w:rFonts w:ascii="Arial" w:hAnsi="Arial" w:cs="Arial"/>
          <w:u w:val="single"/>
          <w:lang w:val="sq-AL"/>
        </w:rPr>
        <w:t>Grupi i Përbashkët i Punës (JWG)</w:t>
      </w:r>
    </w:p>
    <w:p w:rsidR="00FF2EC0" w:rsidRPr="001D50E3" w:rsidRDefault="00FF2EC0" w:rsidP="008768C7">
      <w:pPr>
        <w:spacing w:line="276" w:lineRule="auto"/>
        <w:jc w:val="both"/>
        <w:rPr>
          <w:rFonts w:ascii="Arial" w:hAnsi="Arial" w:cs="Arial"/>
          <w:u w:val="single"/>
          <w:lang w:val="sq-AL"/>
        </w:rPr>
      </w:pPr>
      <w:r w:rsidRPr="001D50E3">
        <w:rPr>
          <w:rFonts w:ascii="Arial" w:hAnsi="Arial" w:cs="Arial"/>
          <w:u w:val="single"/>
          <w:lang w:val="sq-AL"/>
        </w:rPr>
        <w:t>Pavarësisht njohjes së të gjitha nevojave dhe sfidave në nivelin e programimit, si pjesë e procesit të programimit dhe në përputhje me qasjen nga poshtë-lart, u zhvillua një proces i gjerë konsultimi, duke u mbështetur në qasjen e qeverisjes në shumë nivele, duke përfshirë publikun dhe shoqërinë civile. aktorët në të gjitha fazat e procesit.</w:t>
      </w:r>
    </w:p>
    <w:p w:rsidR="00FF2EC0" w:rsidRPr="001D50E3" w:rsidRDefault="00FF2EC0" w:rsidP="008768C7">
      <w:pPr>
        <w:spacing w:line="276" w:lineRule="auto"/>
        <w:jc w:val="both"/>
        <w:rPr>
          <w:rFonts w:ascii="Arial" w:hAnsi="Arial" w:cs="Arial"/>
          <w:u w:val="single"/>
          <w:lang w:val="sq-AL"/>
        </w:rPr>
      </w:pPr>
      <w:r w:rsidRPr="001D50E3">
        <w:rPr>
          <w:rFonts w:ascii="Arial" w:hAnsi="Arial" w:cs="Arial"/>
          <w:u w:val="single"/>
          <w:lang w:val="sq-AL"/>
        </w:rPr>
        <w:t>Në tetor 2019, u krijua një Grup i Përbashkët Punues (JWG) për të zhvilluar Programin. Një nga detyrat kryesore të tij ishte rishikimi periodik dhe bërja e sugjerimeve për progresin në programim si dhe miratimi i fazave kryesore të përgatitjes së programit dhe së fundi i Programit në tërësi.</w:t>
      </w:r>
    </w:p>
    <w:p w:rsidR="00FF2EC0" w:rsidRPr="001D50E3" w:rsidRDefault="00FF2EC0" w:rsidP="008768C7">
      <w:pPr>
        <w:spacing w:line="276" w:lineRule="auto"/>
        <w:jc w:val="both"/>
        <w:rPr>
          <w:rFonts w:ascii="Arial" w:hAnsi="Arial" w:cs="Arial"/>
          <w:u w:val="single"/>
          <w:lang w:val="sq-AL"/>
        </w:rPr>
      </w:pPr>
      <w:r w:rsidRPr="001D50E3">
        <w:rPr>
          <w:rFonts w:ascii="Arial" w:hAnsi="Arial" w:cs="Arial"/>
          <w:u w:val="single"/>
          <w:lang w:val="sq-AL"/>
        </w:rPr>
        <w:t xml:space="preserve">Anëtarët e WWG u emëruan në përputhje me kuadrin përkatës institucional dhe ligjor dhe duke respektuar parimin e partneritetit. WRG përbëhet nga një numër i balancuar përfaqësuesish të dy vendeve partnere, duke përfshirë përfaqësues të autoriteteve publike (kombëtare, rajonale dhe lokale), partnerë ekonomikë dhe socialë, organe përkatëse që përfaqësojnë shoqërinë civile, duke përfshirë partnerët mjedisorë, OJQ-të dhe organet përgjegjëse për promovimin </w:t>
      </w:r>
      <w:r w:rsidRPr="001D50E3">
        <w:rPr>
          <w:rFonts w:ascii="Arial" w:hAnsi="Arial" w:cs="Arial"/>
          <w:u w:val="single"/>
          <w:lang w:val="sq-AL"/>
        </w:rPr>
        <w:lastRenderedPageBreak/>
        <w:t>përfshirja sociale, barazia gjinore dhe mosdiskriminimi. Dokumentet e mëposhtme janë miratuar nga ZRG:</w:t>
      </w:r>
    </w:p>
    <w:p w:rsidR="00FF2EC0" w:rsidRPr="001D50E3" w:rsidRDefault="00FF2EC0" w:rsidP="008768C7">
      <w:pPr>
        <w:spacing w:line="276" w:lineRule="auto"/>
        <w:jc w:val="both"/>
        <w:rPr>
          <w:rFonts w:ascii="Arial" w:hAnsi="Arial" w:cs="Arial"/>
          <w:u w:val="single"/>
          <w:lang w:val="sq-AL"/>
        </w:rPr>
      </w:pPr>
      <w:r w:rsidRPr="001D50E3">
        <w:rPr>
          <w:rFonts w:ascii="Arial" w:hAnsi="Arial" w:cs="Arial"/>
          <w:u w:val="single"/>
          <w:lang w:val="sq-AL"/>
        </w:rPr>
        <w:t>- Takimi i parë i ZRG-së u mbajt në Sofje më 09.10.2019 në të cilin u miratuan Rregullat dhe Procedurat dhe Koncept Note me orarin kohor për procesin e programimit;</w:t>
      </w:r>
    </w:p>
    <w:p w:rsidR="00FF2EC0" w:rsidRPr="001D50E3" w:rsidRDefault="00FF2EC0" w:rsidP="008768C7">
      <w:pPr>
        <w:spacing w:line="276" w:lineRule="auto"/>
        <w:jc w:val="both"/>
        <w:rPr>
          <w:rFonts w:ascii="Arial" w:hAnsi="Arial" w:cs="Arial"/>
          <w:u w:val="single"/>
          <w:lang w:val="sq-AL"/>
        </w:rPr>
      </w:pPr>
      <w:r w:rsidRPr="001D50E3">
        <w:rPr>
          <w:rFonts w:ascii="Arial" w:hAnsi="Arial" w:cs="Arial"/>
          <w:u w:val="single"/>
          <w:lang w:val="sq-AL"/>
        </w:rPr>
        <w:t>- Në korrik 2020, përmes Procedurës Territoriale, u miratua Analiza Territoriale për zonën ndërkufitare Republika e Bullgarisë - Republika e Maqedonisë së Veriut, duke përfshirë analizën SWOT dhe konkluzionet dhe iu dha mandat Organit Drejtues dhe Autoritetit Kombëtar për të elaboruar dhe të paraqesë një propozim për logjikën e ndërhyrjes;</w:t>
      </w:r>
    </w:p>
    <w:p w:rsidR="00FF2EC0" w:rsidRPr="001D50E3" w:rsidRDefault="00FF2EC0" w:rsidP="008768C7">
      <w:pPr>
        <w:spacing w:line="276" w:lineRule="auto"/>
        <w:jc w:val="both"/>
        <w:rPr>
          <w:rFonts w:ascii="Arial" w:hAnsi="Arial" w:cs="Arial"/>
          <w:u w:val="single"/>
          <w:lang w:val="sq-AL"/>
        </w:rPr>
      </w:pPr>
      <w:r w:rsidRPr="001D50E3">
        <w:rPr>
          <w:rFonts w:ascii="Arial" w:hAnsi="Arial" w:cs="Arial"/>
          <w:u w:val="single"/>
          <w:lang w:val="sq-AL"/>
        </w:rPr>
        <w:t>- Logjika e ndërhyrjes së programit u miratua me procedurë të shkruar në tetor 2020, sepse versioni i rishikuar i mëvonshëm i logjikës së ndërhyrjes, i përditësuar sipas ndryshimeve më të fundit në draft rregullore, u miratua në mbledhjen online të datës 11 shkurt 2021. Trupit Drejtues dhe Autoritetit Kombëtar i është dhënë mandati për të përpunuar dhe paraqitur një propozim për një Dokument Programi.</w:t>
      </w:r>
    </w:p>
    <w:p w:rsidR="00FF2EC0" w:rsidRPr="001D50E3" w:rsidRDefault="00FF2EC0" w:rsidP="008768C7">
      <w:pPr>
        <w:spacing w:line="276" w:lineRule="auto"/>
        <w:jc w:val="both"/>
        <w:rPr>
          <w:rFonts w:ascii="Arial" w:hAnsi="Arial" w:cs="Arial"/>
          <w:u w:val="single"/>
          <w:lang w:val="sq-AL"/>
        </w:rPr>
      </w:pPr>
      <w:r w:rsidRPr="001D50E3">
        <w:rPr>
          <w:rFonts w:ascii="Arial" w:hAnsi="Arial" w:cs="Arial"/>
          <w:u w:val="single"/>
          <w:lang w:val="sq-AL"/>
        </w:rPr>
        <w:t>Konsultimet rajonale</w:t>
      </w:r>
    </w:p>
    <w:p w:rsidR="00FF2EC0" w:rsidRPr="001D50E3" w:rsidRDefault="00FF2EC0" w:rsidP="008768C7">
      <w:pPr>
        <w:spacing w:line="276" w:lineRule="auto"/>
        <w:jc w:val="both"/>
        <w:rPr>
          <w:rFonts w:ascii="Arial" w:hAnsi="Arial" w:cs="Arial"/>
          <w:u w:val="single"/>
          <w:lang w:val="sq-AL"/>
        </w:rPr>
      </w:pPr>
      <w:r w:rsidRPr="001D50E3">
        <w:rPr>
          <w:rFonts w:ascii="Arial" w:hAnsi="Arial" w:cs="Arial"/>
          <w:u w:val="single"/>
          <w:lang w:val="sq-AL"/>
        </w:rPr>
        <w:t>Formimit të GPP-së i parapriu një proces i madh konsultimesh rajonale të kryera në të dy vendet. Në shtator 2019 janë mbajtur dy takime të fokus grupeve rajonale, përkatësisht në Blagoevgrad (Republika e Bullgarisë) dhe në Strumicë (Republika e Maqedonisë së Veriut). Qëllimi i tyre ishte të identifikonin nevojat dhe potencialet lokale, duke ndjekur një qasje nga poshtë-lart dhe duke përfshirë propozimet e palëve të interesuara në drejtim të prioritizimit të objektivave të politikave dhe ndërhyrjeve të mundshme. Takimet u ndoqën nga përfaqësues të një game të gjerë të palëve të interesuara - duke përfshirë autoritetet lokale dhe rajonale, institucionet arsimore, bizneset lokale, OJQ-të nga rajoni i bashkëpunimit ndërkufitar.</w:t>
      </w:r>
    </w:p>
    <w:p w:rsidR="00FF2EC0" w:rsidRPr="001D50E3" w:rsidRDefault="00FF2EC0" w:rsidP="008768C7">
      <w:pPr>
        <w:spacing w:line="276" w:lineRule="auto"/>
        <w:jc w:val="both"/>
        <w:rPr>
          <w:rFonts w:ascii="Arial" w:hAnsi="Arial" w:cs="Arial"/>
          <w:u w:val="single"/>
          <w:lang w:val="sq-AL"/>
        </w:rPr>
      </w:pPr>
      <w:r w:rsidRPr="001D50E3">
        <w:rPr>
          <w:rFonts w:ascii="Arial" w:hAnsi="Arial" w:cs="Arial"/>
          <w:u w:val="single"/>
          <w:lang w:val="sq-AL"/>
        </w:rPr>
        <w:t>Pjesëmarrësit në konsultimet e gjera rajonale ndërkufitare ranë dakord mbi nevojën për të propozuar masa të përbashkëta për të trajtuar potencialin e pashfrytëzuar të turizmit, i cili ndryshon nga ai që lidhet me turizmin e skive dhe spa, duke adresuar infrastrukturën e pazhvilluar turistike. Palët e interesuara rajonale dhe vendore shprehën gatishmërinë për të përfshirë një lloj të ri përfituesish, partneritetesh dhe aktivitetesh (nëpërmjet mbështetjes direkte për NVM-të), por gjithashtu këmbëngulën në qëndrueshmërinë e të mëparshmeve dhe kapitalizimin e përvojës në bashkëpunimin mes dy vendeve.</w:t>
      </w:r>
    </w:p>
    <w:p w:rsidR="00FF2EC0" w:rsidRPr="001D50E3" w:rsidRDefault="00FF2EC0" w:rsidP="008768C7">
      <w:pPr>
        <w:spacing w:line="276" w:lineRule="auto"/>
        <w:jc w:val="both"/>
        <w:rPr>
          <w:rFonts w:ascii="Arial" w:hAnsi="Arial" w:cs="Arial"/>
          <w:u w:val="single"/>
          <w:lang w:val="sq-AL"/>
        </w:rPr>
      </w:pPr>
      <w:r w:rsidRPr="001D50E3">
        <w:rPr>
          <w:rFonts w:ascii="Arial" w:hAnsi="Arial" w:cs="Arial"/>
          <w:u w:val="single"/>
          <w:lang w:val="sq-AL"/>
        </w:rPr>
        <w:t>Objektivi i politikës 5 "Evropa më afër qytetarëve" u mbështet nga palët e interesuara si mënyra më e përshtatshme për zbatimin e masave të integruara që mund të kontribuojnë në adresimin e sfidave të përbashkëta dhe të ndryshme në rajonin kufitar.</w:t>
      </w:r>
    </w:p>
    <w:p w:rsidR="00FF2EC0" w:rsidRPr="001D50E3" w:rsidRDefault="00FF2EC0" w:rsidP="008768C7">
      <w:pPr>
        <w:spacing w:line="276" w:lineRule="auto"/>
        <w:jc w:val="both"/>
        <w:rPr>
          <w:rFonts w:ascii="Arial" w:hAnsi="Arial" w:cs="Arial"/>
          <w:u w:val="single"/>
          <w:lang w:val="sq-AL"/>
        </w:rPr>
      </w:pPr>
      <w:r w:rsidRPr="001D50E3">
        <w:rPr>
          <w:rFonts w:ascii="Arial" w:hAnsi="Arial" w:cs="Arial"/>
          <w:u w:val="single"/>
          <w:lang w:val="sq-AL"/>
        </w:rPr>
        <w:t>Në konsultimet rajonale u diskutua edhe zbatimi i masave të dedikuara për uljen e ndotjes dhe mbrojtjen e biodiversitetit brenda CP 2 "E gjelbër me karbon të ulët" që do të përmirësojë mbrojtjen e natyrës për të mirën e njerëzve dhe ekonomisë së rajonit kufitar.</w:t>
      </w:r>
    </w:p>
    <w:p w:rsidR="00FF2EC0" w:rsidRPr="001D50E3" w:rsidRDefault="00FF2EC0" w:rsidP="008768C7">
      <w:pPr>
        <w:spacing w:line="276" w:lineRule="auto"/>
        <w:jc w:val="both"/>
        <w:rPr>
          <w:rFonts w:ascii="Arial" w:hAnsi="Arial" w:cs="Arial"/>
          <w:u w:val="single"/>
          <w:lang w:val="sq-AL"/>
        </w:rPr>
      </w:pPr>
      <w:r w:rsidRPr="001D50E3">
        <w:rPr>
          <w:rFonts w:ascii="Arial" w:hAnsi="Arial" w:cs="Arial"/>
          <w:u w:val="single"/>
          <w:lang w:val="sq-AL"/>
        </w:rPr>
        <w:t>Në kuadër të temës konsultative për lidhje, palët e interesuara i rikthyen diskutimit hapjen e pikës së re kufitare (PKK) Klepalo që lidh Strumyanin dhe Berovën, angazhimet qeveritare të së cilës datojnë në vitin 1999. Të gjithë pjesëmarrësit ranë dakord për efektet multisektorale të GP-së së re që mund të gjeneronte në një kontekst rajonal dhe ndërkombëtar, kështu që ideja u përkufizua si strategjike dhe u propozua për mbështetje të programit.</w:t>
      </w:r>
    </w:p>
    <w:p w:rsidR="00FF2EC0" w:rsidRPr="001D50E3" w:rsidRDefault="00FF2EC0" w:rsidP="008768C7">
      <w:pPr>
        <w:spacing w:line="276" w:lineRule="auto"/>
        <w:jc w:val="both"/>
        <w:rPr>
          <w:rFonts w:ascii="Arial" w:hAnsi="Arial" w:cs="Arial"/>
          <w:u w:val="single"/>
          <w:lang w:val="sq-AL"/>
        </w:rPr>
      </w:pPr>
      <w:r w:rsidRPr="001D50E3">
        <w:rPr>
          <w:rFonts w:ascii="Arial" w:hAnsi="Arial" w:cs="Arial"/>
          <w:u w:val="single"/>
          <w:lang w:val="sq-AL"/>
        </w:rPr>
        <w:lastRenderedPageBreak/>
        <w:t>Pas konsultimeve rajonale, pjesëmarrësve iu dërgua një pyetësor ku u vu në dukje sfidat me të cilat përballet zona në drejtim të zhvillimit social-ekonomik dhe fushat e ndërhyrjes në të cilat programi mund të sjellë vlerë të shtuar. Të anketuarit kanë mbështetur fuqishëm që programi i ardhshëm të jetë më i fokusuar duke adresuar sfidat dhe nevojat lokale të rajonit kufitar. Gjithashtu, u theksua mbështetja e drejtpërdrejtë për mbrojtjen e mjedisit,</w:t>
      </w:r>
    </w:p>
    <w:p w:rsidR="00FF2EC0" w:rsidRPr="001D50E3" w:rsidRDefault="00FF2EC0" w:rsidP="008768C7">
      <w:pPr>
        <w:spacing w:line="276" w:lineRule="auto"/>
        <w:jc w:val="both"/>
        <w:rPr>
          <w:rFonts w:ascii="Arial" w:hAnsi="Arial" w:cs="Arial"/>
          <w:b/>
          <w:lang w:val="sq-AL"/>
        </w:rPr>
      </w:pPr>
      <w:r w:rsidRPr="001D50E3">
        <w:rPr>
          <w:rFonts w:ascii="Arial" w:hAnsi="Arial" w:cs="Arial"/>
          <w:b/>
          <w:lang w:val="sq-AL"/>
        </w:rPr>
        <w:t>5. Akses në komunikim dhe dukshmëri për programin INTERREG (objektivat, audiencat e synuara, kanalet e komunikimit, duke përfshirë aksesin në mediat sociale, aty ku është e përshtatshme, buxhetin e planifikuar dhe treguesit përkatës të monitorimit dhe vlerësimit)</w:t>
      </w:r>
    </w:p>
    <w:p w:rsidR="00FF2EC0" w:rsidRPr="001D50E3" w:rsidRDefault="00FF2EC0" w:rsidP="008768C7">
      <w:pPr>
        <w:spacing w:line="276" w:lineRule="auto"/>
        <w:jc w:val="both"/>
        <w:rPr>
          <w:rFonts w:ascii="Arial" w:hAnsi="Arial" w:cs="Arial"/>
          <w:b/>
          <w:lang w:val="sq-AL"/>
        </w:rPr>
      </w:pPr>
      <w:r w:rsidRPr="001D50E3">
        <w:rPr>
          <w:rFonts w:ascii="Arial" w:hAnsi="Arial" w:cs="Arial"/>
          <w:b/>
          <w:lang w:val="sq-AL"/>
        </w:rPr>
        <w:t>Referenca: pika (h) e nenit 17 (3)</w:t>
      </w:r>
    </w:p>
    <w:p w:rsidR="00FF2EC0" w:rsidRPr="001D50E3" w:rsidRDefault="00FF2EC0" w:rsidP="008768C7">
      <w:pPr>
        <w:spacing w:line="276" w:lineRule="auto"/>
        <w:jc w:val="both"/>
        <w:rPr>
          <w:rFonts w:ascii="Arial" w:hAnsi="Arial" w:cs="Arial"/>
          <w:b/>
          <w:lang w:val="sq-AL"/>
        </w:rPr>
      </w:pPr>
      <w:r w:rsidRPr="001D50E3">
        <w:rPr>
          <w:rFonts w:ascii="Arial" w:hAnsi="Arial" w:cs="Arial"/>
          <w:b/>
          <w:lang w:val="sq-AL"/>
        </w:rPr>
        <w:t>Programi do të shqyrtojë praktikat e mira të komunikimit nga periudha e mëparshme dhe do të demonstrojë një qasje fleksibël për të arritur audiencën e synuar. E gjithë kjo përkthehet në qëllimet e mëposhtme të komunikimit:</w:t>
      </w:r>
    </w:p>
    <w:p w:rsidR="00FF2EC0" w:rsidRPr="001D50E3" w:rsidRDefault="00FF2EC0" w:rsidP="008768C7">
      <w:pPr>
        <w:spacing w:line="276" w:lineRule="auto"/>
        <w:jc w:val="both"/>
        <w:rPr>
          <w:rFonts w:ascii="Arial" w:hAnsi="Arial" w:cs="Arial"/>
          <w:b/>
          <w:lang w:val="sq-AL"/>
        </w:rPr>
      </w:pPr>
      <w:r w:rsidRPr="001D50E3">
        <w:rPr>
          <w:rFonts w:ascii="Arial" w:hAnsi="Arial" w:cs="Arial"/>
          <w:b/>
          <w:lang w:val="sq-AL"/>
        </w:rPr>
        <w:t>- ta bëjë programin të njohur, tërheqës dhe lehtësisht të aksesueshëm;</w:t>
      </w:r>
    </w:p>
    <w:p w:rsidR="00FF2EC0" w:rsidRPr="001D50E3" w:rsidRDefault="00FF2EC0" w:rsidP="008768C7">
      <w:pPr>
        <w:spacing w:line="276" w:lineRule="auto"/>
        <w:jc w:val="both"/>
        <w:rPr>
          <w:rFonts w:ascii="Arial" w:hAnsi="Arial" w:cs="Arial"/>
          <w:b/>
          <w:lang w:val="sq-AL"/>
        </w:rPr>
      </w:pPr>
      <w:r w:rsidRPr="001D50E3">
        <w:rPr>
          <w:rFonts w:ascii="Arial" w:hAnsi="Arial" w:cs="Arial"/>
          <w:b/>
          <w:lang w:val="sq-AL"/>
        </w:rPr>
        <w:t>- të mbështesë përfituesit në zbatimin e projektit;</w:t>
      </w:r>
    </w:p>
    <w:p w:rsidR="00FF2EC0" w:rsidRPr="001D50E3" w:rsidRDefault="00FF2EC0" w:rsidP="008768C7">
      <w:pPr>
        <w:spacing w:line="276" w:lineRule="auto"/>
        <w:jc w:val="both"/>
        <w:rPr>
          <w:rFonts w:ascii="Arial" w:hAnsi="Arial" w:cs="Arial"/>
          <w:b/>
          <w:lang w:val="sq-AL"/>
        </w:rPr>
      </w:pPr>
      <w:r w:rsidRPr="001D50E3">
        <w:rPr>
          <w:rFonts w:ascii="Arial" w:hAnsi="Arial" w:cs="Arial"/>
          <w:b/>
          <w:lang w:val="sq-AL"/>
        </w:rPr>
        <w:t>- të sigurojë njohje të gjerë të mbështetjes së BE-së në zhvillimin e zonës së programit.</w:t>
      </w:r>
    </w:p>
    <w:p w:rsidR="00FF2EC0" w:rsidRPr="001D50E3" w:rsidRDefault="00FF2EC0" w:rsidP="008768C7">
      <w:pPr>
        <w:spacing w:line="276" w:lineRule="auto"/>
        <w:jc w:val="both"/>
        <w:rPr>
          <w:rFonts w:ascii="Arial" w:hAnsi="Arial" w:cs="Arial"/>
          <w:b/>
          <w:lang w:val="sq-AL"/>
        </w:rPr>
      </w:pPr>
      <w:r w:rsidRPr="001D50E3">
        <w:rPr>
          <w:rFonts w:ascii="Arial" w:hAnsi="Arial" w:cs="Arial"/>
          <w:b/>
          <w:lang w:val="sq-AL"/>
        </w:rPr>
        <w:t>Fokusi kryesor i aktiviteteve të komunikimit është tek aplikantët e mundshëm, përdoruesit, palët e interesuara dhe institucionet e përfshira në zbatim.</w:t>
      </w:r>
    </w:p>
    <w:p w:rsidR="00FF2EC0" w:rsidRPr="001D50E3" w:rsidRDefault="00FF2EC0" w:rsidP="008768C7">
      <w:pPr>
        <w:spacing w:line="276" w:lineRule="auto"/>
        <w:jc w:val="both"/>
        <w:rPr>
          <w:rFonts w:ascii="Arial" w:hAnsi="Arial" w:cs="Arial"/>
          <w:b/>
          <w:lang w:val="sq-AL"/>
        </w:rPr>
      </w:pPr>
      <w:r w:rsidRPr="001D50E3">
        <w:rPr>
          <w:rFonts w:ascii="Arial" w:hAnsi="Arial" w:cs="Arial"/>
          <w:b/>
          <w:lang w:val="sq-AL"/>
        </w:rPr>
        <w:t>Veprimet e komunikimit dhe dukshmërisë do të arrijnë një audiencë të madhe në fushën e përshtatshmërisë, si gjeografikisht ashtu edhe tematikisht, dhe do të ndjekin objektivat e programit. Grupet e synuara janë:</w:t>
      </w:r>
    </w:p>
    <w:p w:rsidR="00FF2EC0" w:rsidRPr="001D50E3" w:rsidRDefault="00FF2EC0" w:rsidP="008768C7">
      <w:pPr>
        <w:spacing w:line="276" w:lineRule="auto"/>
        <w:jc w:val="both"/>
        <w:rPr>
          <w:rFonts w:ascii="Arial" w:hAnsi="Arial" w:cs="Arial"/>
          <w:b/>
          <w:lang w:val="sq-AL"/>
        </w:rPr>
      </w:pPr>
      <w:r w:rsidRPr="001D50E3">
        <w:rPr>
          <w:rFonts w:ascii="Arial" w:hAnsi="Arial" w:cs="Arial"/>
          <w:b/>
          <w:lang w:val="sq-AL"/>
        </w:rPr>
        <w:t>- Përfituesit (potencialë): autoritetet publike, ndërmarrjet e vogla dhe të mesme, organizatat joqeveritare, institucionet e kërkimit dhe zhvillimit, arsimit dhe trajnimit dhe struktura të tjera të përbashkëta ndërkufitare;</w:t>
      </w:r>
    </w:p>
    <w:p w:rsidR="00FF2EC0" w:rsidRPr="001D50E3" w:rsidRDefault="00FF2EC0" w:rsidP="008768C7">
      <w:pPr>
        <w:spacing w:line="276" w:lineRule="auto"/>
        <w:jc w:val="both"/>
        <w:rPr>
          <w:rFonts w:ascii="Arial" w:hAnsi="Arial" w:cs="Arial"/>
          <w:b/>
          <w:lang w:val="sq-AL"/>
        </w:rPr>
      </w:pPr>
      <w:r w:rsidRPr="001D50E3">
        <w:rPr>
          <w:rFonts w:ascii="Arial" w:hAnsi="Arial" w:cs="Arial"/>
          <w:b/>
          <w:lang w:val="sq-AL"/>
        </w:rPr>
        <w:t>- Palët e tjera të interesuara - autoritetet kombëtare, rajonale dhe lokale, shoqatat e biznesit, sociale, turistike, kulturore, sportive dhe palët e interesuara të programeve kryesore;</w:t>
      </w:r>
    </w:p>
    <w:p w:rsidR="00FF2EC0" w:rsidRPr="001D50E3" w:rsidRDefault="00FF2EC0" w:rsidP="008768C7">
      <w:pPr>
        <w:spacing w:line="276" w:lineRule="auto"/>
        <w:jc w:val="both"/>
        <w:rPr>
          <w:rFonts w:ascii="Arial" w:hAnsi="Arial" w:cs="Arial"/>
          <w:b/>
          <w:lang w:val="sq-AL"/>
        </w:rPr>
      </w:pPr>
      <w:r w:rsidRPr="001D50E3">
        <w:rPr>
          <w:rFonts w:ascii="Arial" w:hAnsi="Arial" w:cs="Arial"/>
          <w:b/>
          <w:lang w:val="sq-AL"/>
        </w:rPr>
        <w:t>- Media kombëtare / rajonale / lokale nga të dy vendet</w:t>
      </w:r>
    </w:p>
    <w:p w:rsidR="00FF2EC0" w:rsidRPr="001D50E3" w:rsidRDefault="00FF2EC0" w:rsidP="008768C7">
      <w:pPr>
        <w:spacing w:line="276" w:lineRule="auto"/>
        <w:jc w:val="both"/>
        <w:rPr>
          <w:rFonts w:ascii="Arial" w:hAnsi="Arial" w:cs="Arial"/>
          <w:b/>
          <w:lang w:val="sq-AL"/>
        </w:rPr>
      </w:pPr>
      <w:r w:rsidRPr="001D50E3">
        <w:rPr>
          <w:rFonts w:ascii="Arial" w:hAnsi="Arial" w:cs="Arial"/>
          <w:b/>
          <w:lang w:val="sq-AL"/>
        </w:rPr>
        <w:t>Përzierja e kanaleve të komunikimit merr parasysh objektivat tematike të programit. Ekzistojnë instrumente dixhitale dhe tradicionale:</w:t>
      </w:r>
    </w:p>
    <w:p w:rsidR="00FF2EC0" w:rsidRPr="001D50E3" w:rsidRDefault="00FF2EC0" w:rsidP="008768C7">
      <w:pPr>
        <w:spacing w:line="276" w:lineRule="auto"/>
        <w:jc w:val="both"/>
        <w:rPr>
          <w:rFonts w:ascii="Arial" w:hAnsi="Arial" w:cs="Arial"/>
          <w:b/>
          <w:lang w:val="sq-AL"/>
        </w:rPr>
      </w:pPr>
      <w:r w:rsidRPr="001D50E3">
        <w:rPr>
          <w:rFonts w:ascii="Arial" w:hAnsi="Arial" w:cs="Arial"/>
          <w:b/>
          <w:lang w:val="sq-AL"/>
        </w:rPr>
        <w:t>Kanalet e komunikimit:</w:t>
      </w:r>
    </w:p>
    <w:p w:rsidR="00FF2EC0" w:rsidRPr="001D50E3" w:rsidRDefault="00FF2EC0" w:rsidP="008768C7">
      <w:pPr>
        <w:spacing w:line="276" w:lineRule="auto"/>
        <w:jc w:val="both"/>
        <w:rPr>
          <w:rFonts w:ascii="Arial" w:hAnsi="Arial" w:cs="Arial"/>
          <w:b/>
          <w:lang w:val="sq-AL"/>
        </w:rPr>
      </w:pPr>
      <w:r w:rsidRPr="001D50E3">
        <w:rPr>
          <w:rFonts w:ascii="Arial" w:hAnsi="Arial" w:cs="Arial"/>
          <w:b/>
          <w:lang w:val="sq-AL"/>
        </w:rPr>
        <w:t>1. Dixhitale</w:t>
      </w:r>
    </w:p>
    <w:p w:rsidR="00FF2EC0" w:rsidRPr="001D50E3" w:rsidRDefault="00FF2EC0" w:rsidP="008768C7">
      <w:pPr>
        <w:spacing w:line="276" w:lineRule="auto"/>
        <w:jc w:val="both"/>
        <w:rPr>
          <w:rFonts w:ascii="Arial" w:hAnsi="Arial" w:cs="Arial"/>
          <w:b/>
          <w:lang w:val="sq-AL"/>
        </w:rPr>
      </w:pPr>
      <w:r w:rsidRPr="001D50E3">
        <w:rPr>
          <w:rFonts w:ascii="Arial" w:hAnsi="Arial" w:cs="Arial"/>
          <w:b/>
          <w:lang w:val="sq-AL"/>
        </w:rPr>
        <w:t>-</w:t>
      </w:r>
      <w:r w:rsidRPr="001D50E3">
        <w:rPr>
          <w:rFonts w:ascii="Arial" w:hAnsi="Arial" w:cs="Arial"/>
          <w:b/>
          <w:lang w:val="sq-AL"/>
        </w:rPr>
        <w:tab/>
        <w:t>Faqe interneti;</w:t>
      </w:r>
    </w:p>
    <w:p w:rsidR="00FF2EC0" w:rsidRPr="001D50E3" w:rsidRDefault="00FF2EC0" w:rsidP="008768C7">
      <w:pPr>
        <w:spacing w:line="276" w:lineRule="auto"/>
        <w:jc w:val="both"/>
        <w:rPr>
          <w:rFonts w:ascii="Arial" w:hAnsi="Arial" w:cs="Arial"/>
          <w:b/>
          <w:lang w:val="sq-AL"/>
        </w:rPr>
      </w:pPr>
      <w:r w:rsidRPr="001D50E3">
        <w:rPr>
          <w:rFonts w:ascii="Arial" w:hAnsi="Arial" w:cs="Arial"/>
          <w:b/>
          <w:lang w:val="sq-AL"/>
        </w:rPr>
        <w:t>- Media sociale (Facebook dhe YouTube);</w:t>
      </w:r>
    </w:p>
    <w:p w:rsidR="00FF2EC0" w:rsidRPr="001D50E3" w:rsidRDefault="00FF2EC0" w:rsidP="008768C7">
      <w:pPr>
        <w:spacing w:line="276" w:lineRule="auto"/>
        <w:jc w:val="both"/>
        <w:rPr>
          <w:rFonts w:ascii="Arial" w:hAnsi="Arial" w:cs="Arial"/>
          <w:b/>
          <w:lang w:val="sq-AL"/>
        </w:rPr>
      </w:pPr>
      <w:r w:rsidRPr="001D50E3">
        <w:rPr>
          <w:rFonts w:ascii="Arial" w:hAnsi="Arial" w:cs="Arial"/>
          <w:b/>
          <w:lang w:val="sq-AL"/>
        </w:rPr>
        <w:t>- Ngjarje (takime, punëtori, konferenca, seminare, trajnime);</w:t>
      </w:r>
    </w:p>
    <w:p w:rsidR="00FF2EC0" w:rsidRPr="001D50E3" w:rsidRDefault="00FF2EC0" w:rsidP="008768C7">
      <w:pPr>
        <w:spacing w:line="276" w:lineRule="auto"/>
        <w:jc w:val="both"/>
        <w:rPr>
          <w:rFonts w:ascii="Arial" w:hAnsi="Arial" w:cs="Arial"/>
          <w:b/>
          <w:lang w:val="sq-AL"/>
        </w:rPr>
      </w:pPr>
      <w:r w:rsidRPr="001D50E3">
        <w:rPr>
          <w:rFonts w:ascii="Arial" w:hAnsi="Arial" w:cs="Arial"/>
          <w:b/>
          <w:lang w:val="sq-AL"/>
        </w:rPr>
        <w:t>- Aktivitetet e PR (buletinet, e-broshurat, manuali i identitetit vizual)</w:t>
      </w:r>
    </w:p>
    <w:p w:rsidR="00FF2EC0" w:rsidRPr="001D50E3" w:rsidRDefault="00FF2EC0" w:rsidP="008768C7">
      <w:pPr>
        <w:spacing w:line="276" w:lineRule="auto"/>
        <w:jc w:val="both"/>
        <w:rPr>
          <w:rFonts w:ascii="Arial" w:hAnsi="Arial" w:cs="Arial"/>
          <w:b/>
          <w:lang w:val="sq-AL"/>
        </w:rPr>
      </w:pPr>
      <w:r w:rsidRPr="001D50E3">
        <w:rPr>
          <w:rFonts w:ascii="Arial" w:hAnsi="Arial" w:cs="Arial"/>
          <w:b/>
          <w:lang w:val="sq-AL"/>
        </w:rPr>
        <w:lastRenderedPageBreak/>
        <w:t>2. Tradicionale</w:t>
      </w:r>
    </w:p>
    <w:p w:rsidR="00FF2EC0" w:rsidRPr="001D50E3" w:rsidRDefault="00FF2EC0" w:rsidP="008768C7">
      <w:pPr>
        <w:spacing w:line="276" w:lineRule="auto"/>
        <w:jc w:val="both"/>
        <w:rPr>
          <w:rFonts w:ascii="Arial" w:hAnsi="Arial" w:cs="Arial"/>
          <w:b/>
          <w:lang w:val="sq-AL"/>
        </w:rPr>
      </w:pPr>
      <w:r w:rsidRPr="001D50E3">
        <w:rPr>
          <w:rFonts w:ascii="Arial" w:hAnsi="Arial" w:cs="Arial"/>
          <w:b/>
          <w:lang w:val="sq-AL"/>
        </w:rPr>
        <w:t>- Aktivitete PR (deklarata për shtyp, publikime, intervista, shfaqje, video të shkurtra)</w:t>
      </w:r>
    </w:p>
    <w:p w:rsidR="00FF2EC0" w:rsidRPr="001D50E3" w:rsidRDefault="00FF2EC0" w:rsidP="008768C7">
      <w:pPr>
        <w:spacing w:line="276" w:lineRule="auto"/>
        <w:jc w:val="both"/>
        <w:rPr>
          <w:rFonts w:ascii="Arial" w:hAnsi="Arial" w:cs="Arial"/>
          <w:b/>
          <w:lang w:val="sq-AL"/>
        </w:rPr>
      </w:pPr>
      <w:r w:rsidRPr="001D50E3">
        <w:rPr>
          <w:rFonts w:ascii="Arial" w:hAnsi="Arial" w:cs="Arial"/>
          <w:b/>
          <w:lang w:val="sq-AL"/>
        </w:rPr>
        <w:t>- Sinjalizim (targa me logon e Programit në hyrje të objektit dhe MB, NE, ZS, me flamur të BE-së);</w:t>
      </w:r>
    </w:p>
    <w:p w:rsidR="00FF2EC0" w:rsidRPr="001D50E3" w:rsidRDefault="00FF2EC0" w:rsidP="008768C7">
      <w:pPr>
        <w:spacing w:line="276" w:lineRule="auto"/>
        <w:jc w:val="both"/>
        <w:rPr>
          <w:rFonts w:ascii="Arial" w:hAnsi="Arial" w:cs="Arial"/>
          <w:b/>
          <w:lang w:val="sq-AL"/>
        </w:rPr>
      </w:pPr>
      <w:r w:rsidRPr="001D50E3">
        <w:rPr>
          <w:rFonts w:ascii="Arial" w:hAnsi="Arial" w:cs="Arial"/>
          <w:b/>
          <w:lang w:val="sq-AL"/>
        </w:rPr>
        <w:t>3. Ngjarje/trajnime</w:t>
      </w:r>
    </w:p>
    <w:p w:rsidR="00FF2EC0" w:rsidRPr="001D50E3" w:rsidRDefault="00FF2EC0" w:rsidP="008768C7">
      <w:pPr>
        <w:spacing w:line="276" w:lineRule="auto"/>
        <w:jc w:val="both"/>
        <w:rPr>
          <w:rFonts w:ascii="Arial" w:hAnsi="Arial" w:cs="Arial"/>
          <w:b/>
          <w:lang w:val="sq-AL"/>
        </w:rPr>
      </w:pPr>
      <w:r w:rsidRPr="001D50E3">
        <w:rPr>
          <w:rFonts w:ascii="Arial" w:hAnsi="Arial" w:cs="Arial"/>
          <w:b/>
          <w:lang w:val="sq-AL"/>
        </w:rPr>
        <w:t>- Takime, seminare, konferenca, seminare dhe trajnime</w:t>
      </w:r>
    </w:p>
    <w:p w:rsidR="00FF2EC0" w:rsidRPr="001D50E3" w:rsidRDefault="00FF2EC0" w:rsidP="008768C7">
      <w:pPr>
        <w:spacing w:line="276" w:lineRule="auto"/>
        <w:jc w:val="both"/>
        <w:rPr>
          <w:rFonts w:ascii="Arial" w:hAnsi="Arial" w:cs="Arial"/>
          <w:b/>
          <w:lang w:val="sq-AL"/>
        </w:rPr>
      </w:pPr>
      <w:r w:rsidRPr="001D50E3">
        <w:rPr>
          <w:rFonts w:ascii="Arial" w:hAnsi="Arial" w:cs="Arial"/>
          <w:b/>
          <w:lang w:val="sq-AL"/>
        </w:rPr>
        <w:t>- Ngjarjet për të shënuar Ditën e Bashkëpunimit Evropian</w:t>
      </w:r>
    </w:p>
    <w:p w:rsidR="00FF2EC0" w:rsidRPr="001D50E3" w:rsidRDefault="00FF2EC0" w:rsidP="008768C7">
      <w:pPr>
        <w:spacing w:line="276" w:lineRule="auto"/>
        <w:jc w:val="both"/>
        <w:rPr>
          <w:rFonts w:ascii="Arial" w:hAnsi="Arial" w:cs="Arial"/>
          <w:b/>
          <w:lang w:val="sq-AL"/>
        </w:rPr>
      </w:pPr>
      <w:r w:rsidRPr="001D50E3">
        <w:rPr>
          <w:rFonts w:ascii="Arial" w:hAnsi="Arial" w:cs="Arial"/>
          <w:b/>
          <w:lang w:val="sq-AL"/>
        </w:rPr>
        <w:t>faqe interneti</w:t>
      </w:r>
    </w:p>
    <w:p w:rsidR="00FF2EC0" w:rsidRPr="001D50E3" w:rsidRDefault="00FF2EC0" w:rsidP="008768C7">
      <w:pPr>
        <w:spacing w:line="276" w:lineRule="auto"/>
        <w:jc w:val="both"/>
        <w:rPr>
          <w:rFonts w:ascii="Arial" w:hAnsi="Arial" w:cs="Arial"/>
          <w:b/>
          <w:lang w:val="sq-AL"/>
        </w:rPr>
      </w:pPr>
      <w:r w:rsidRPr="001D50E3">
        <w:rPr>
          <w:rFonts w:ascii="Arial" w:hAnsi="Arial" w:cs="Arial"/>
          <w:b/>
          <w:lang w:val="sq-AL"/>
        </w:rPr>
        <w:t>Si burimi kryesor i informacionit, faqja e re e internetit do të ruajë strukturën kryesore si ajo e periudhës 2014-2020.</w:t>
      </w:r>
    </w:p>
    <w:p w:rsidR="00FF2EC0" w:rsidRPr="001D50E3" w:rsidRDefault="00FF2EC0" w:rsidP="008768C7">
      <w:pPr>
        <w:spacing w:line="276" w:lineRule="auto"/>
        <w:jc w:val="both"/>
        <w:rPr>
          <w:rFonts w:ascii="Arial" w:hAnsi="Arial" w:cs="Arial"/>
          <w:b/>
          <w:lang w:val="sq-AL"/>
        </w:rPr>
      </w:pPr>
      <w:r w:rsidRPr="001D50E3">
        <w:rPr>
          <w:rFonts w:ascii="Arial" w:hAnsi="Arial" w:cs="Arial"/>
          <w:b/>
          <w:lang w:val="sq-AL"/>
        </w:rPr>
        <w:t>Mediat sociale</w:t>
      </w:r>
    </w:p>
    <w:p w:rsidR="00FF2EC0" w:rsidRPr="001D50E3" w:rsidRDefault="00FF2EC0" w:rsidP="008768C7">
      <w:pPr>
        <w:spacing w:line="276" w:lineRule="auto"/>
        <w:jc w:val="both"/>
        <w:rPr>
          <w:rFonts w:ascii="Arial" w:hAnsi="Arial" w:cs="Arial"/>
          <w:b/>
          <w:lang w:val="sq-AL"/>
        </w:rPr>
      </w:pPr>
      <w:r w:rsidRPr="001D50E3">
        <w:rPr>
          <w:rFonts w:ascii="Arial" w:hAnsi="Arial" w:cs="Arial"/>
          <w:b/>
          <w:lang w:val="sq-AL"/>
        </w:rPr>
        <w:t>Programi do të përdorë Facebook dhe YouTube si kanalet kryesore të mediave sociale. Për të arritur audiencën maksimale, bordi do të përdorë optimizimin e motorëve të kërkimit (SEO) dhe reklamat në Google (Google Ads), Facebook dhe YouTube.</w:t>
      </w:r>
    </w:p>
    <w:p w:rsidR="00FF2EC0" w:rsidRPr="001D50E3" w:rsidRDefault="00FF2EC0" w:rsidP="008768C7">
      <w:pPr>
        <w:spacing w:line="276" w:lineRule="auto"/>
        <w:jc w:val="both"/>
        <w:rPr>
          <w:rFonts w:ascii="Arial" w:hAnsi="Arial" w:cs="Arial"/>
          <w:b/>
          <w:lang w:val="sq-AL"/>
        </w:rPr>
      </w:pPr>
      <w:r w:rsidRPr="001D50E3">
        <w:rPr>
          <w:rFonts w:ascii="Arial" w:hAnsi="Arial" w:cs="Arial"/>
          <w:b/>
          <w:lang w:val="sq-AL"/>
        </w:rPr>
        <w:t>Webinare të mësimit elektronik</w:t>
      </w:r>
    </w:p>
    <w:p w:rsidR="00FF2EC0" w:rsidRPr="001D50E3" w:rsidRDefault="00FF2EC0" w:rsidP="008768C7">
      <w:pPr>
        <w:spacing w:line="276" w:lineRule="auto"/>
        <w:jc w:val="both"/>
        <w:rPr>
          <w:rFonts w:ascii="Arial" w:hAnsi="Arial" w:cs="Arial"/>
          <w:b/>
          <w:lang w:val="sq-AL"/>
        </w:rPr>
      </w:pPr>
      <w:r w:rsidRPr="001D50E3">
        <w:rPr>
          <w:rFonts w:ascii="Arial" w:hAnsi="Arial" w:cs="Arial"/>
          <w:b/>
          <w:lang w:val="sq-AL"/>
        </w:rPr>
        <w:t>BD do t'i kushtojë vëmendje të veçantë edukimit online dhe do të ofrojë akses në informacion për palët e interesuara që nuk mund të jenë fizikisht të pranishëm në ngjarje. Nëse është e nevojshme, të gjitha ngjarjet e mundshme poshtë linjës do të transferohen në internet.</w:t>
      </w:r>
    </w:p>
    <w:p w:rsidR="00FF2EC0" w:rsidRPr="001D50E3" w:rsidRDefault="00FF2EC0" w:rsidP="008768C7">
      <w:pPr>
        <w:spacing w:line="276" w:lineRule="auto"/>
        <w:jc w:val="both"/>
        <w:rPr>
          <w:rFonts w:ascii="Arial" w:hAnsi="Arial" w:cs="Arial"/>
          <w:b/>
          <w:lang w:val="sq-AL"/>
        </w:rPr>
      </w:pPr>
      <w:r w:rsidRPr="001D50E3">
        <w:rPr>
          <w:rFonts w:ascii="Arial" w:hAnsi="Arial" w:cs="Arial"/>
          <w:b/>
          <w:lang w:val="sq-AL"/>
        </w:rPr>
        <w:t>aktivitetet e PR</w:t>
      </w:r>
    </w:p>
    <w:p w:rsidR="00FF2EC0" w:rsidRPr="001D50E3" w:rsidRDefault="00FF2EC0" w:rsidP="008768C7">
      <w:pPr>
        <w:spacing w:line="276" w:lineRule="auto"/>
        <w:jc w:val="both"/>
        <w:rPr>
          <w:rFonts w:ascii="Arial" w:hAnsi="Arial" w:cs="Arial"/>
          <w:b/>
          <w:lang w:val="sq-AL"/>
        </w:rPr>
      </w:pPr>
      <w:r w:rsidRPr="001D50E3">
        <w:rPr>
          <w:rFonts w:ascii="Arial" w:hAnsi="Arial" w:cs="Arial"/>
          <w:b/>
          <w:lang w:val="sq-AL"/>
        </w:rPr>
        <w:t>Deklaratat për shtyp do të përgatiten dhe shpërndahen në mediat lokale / rajonale / kombëtare.</w:t>
      </w:r>
    </w:p>
    <w:p w:rsidR="00FF2EC0" w:rsidRPr="001D50E3" w:rsidRDefault="00FF2EC0" w:rsidP="008768C7">
      <w:pPr>
        <w:spacing w:line="276" w:lineRule="auto"/>
        <w:jc w:val="both"/>
        <w:rPr>
          <w:rFonts w:ascii="Arial" w:hAnsi="Arial" w:cs="Arial"/>
          <w:b/>
          <w:lang w:val="sq-AL"/>
        </w:rPr>
      </w:pPr>
      <w:r w:rsidRPr="001D50E3">
        <w:rPr>
          <w:rFonts w:ascii="Arial" w:hAnsi="Arial" w:cs="Arial"/>
          <w:b/>
          <w:lang w:val="sq-AL"/>
        </w:rPr>
        <w:t>E-Broshura / buletinet do të publikohen dhe shpërndahen përmes faqes së internetit të mediave sociale dhe programit.</w:t>
      </w:r>
    </w:p>
    <w:p w:rsidR="00FF2EC0" w:rsidRPr="001D50E3" w:rsidRDefault="00FF2EC0" w:rsidP="008768C7">
      <w:pPr>
        <w:spacing w:line="276" w:lineRule="auto"/>
        <w:jc w:val="both"/>
        <w:rPr>
          <w:rFonts w:ascii="Arial" w:hAnsi="Arial" w:cs="Arial"/>
          <w:b/>
          <w:lang w:val="sq-AL"/>
        </w:rPr>
      </w:pPr>
      <w:r w:rsidRPr="001D50E3">
        <w:rPr>
          <w:rFonts w:ascii="Arial" w:hAnsi="Arial" w:cs="Arial"/>
          <w:b/>
          <w:lang w:val="sq-AL"/>
        </w:rPr>
        <w:t>Grafikët e informacionit do të përdoren për paraqitjen vizuale të informacionit kompleks në një mënyrë të shpejtë dhe të qartë.</w:t>
      </w:r>
    </w:p>
    <w:p w:rsidR="00FF2EC0" w:rsidRPr="001D50E3" w:rsidRDefault="00FF2EC0" w:rsidP="008768C7">
      <w:pPr>
        <w:spacing w:line="276" w:lineRule="auto"/>
        <w:jc w:val="both"/>
        <w:rPr>
          <w:rFonts w:ascii="Arial" w:hAnsi="Arial" w:cs="Arial"/>
          <w:b/>
          <w:lang w:val="sq-AL"/>
        </w:rPr>
      </w:pPr>
      <w:r w:rsidRPr="001D50E3">
        <w:rPr>
          <w:rFonts w:ascii="Arial" w:hAnsi="Arial" w:cs="Arial"/>
          <w:b/>
          <w:lang w:val="sq-AL"/>
        </w:rPr>
        <w:t>Ngjarjet e shtypit do të organizohen kryesisht në terren.</w:t>
      </w:r>
    </w:p>
    <w:p w:rsidR="00FF2EC0" w:rsidRPr="001D50E3" w:rsidRDefault="00FF2EC0" w:rsidP="008768C7">
      <w:pPr>
        <w:spacing w:line="276" w:lineRule="auto"/>
        <w:jc w:val="both"/>
        <w:rPr>
          <w:rFonts w:ascii="Arial" w:hAnsi="Arial" w:cs="Arial"/>
          <w:b/>
          <w:lang w:val="sq-AL"/>
        </w:rPr>
      </w:pPr>
      <w:r w:rsidRPr="001D50E3">
        <w:rPr>
          <w:rFonts w:ascii="Arial" w:hAnsi="Arial" w:cs="Arial"/>
          <w:b/>
          <w:lang w:val="sq-AL"/>
        </w:rPr>
        <w:t>Fotografitë e ngjarjeve dhe projekteve do të përdoren për të përgatitur botime, materiale promovuese, video dhe shfaqje rrëshqitëse.</w:t>
      </w:r>
    </w:p>
    <w:p w:rsidR="00FF2EC0" w:rsidRPr="001D50E3" w:rsidRDefault="00FF2EC0" w:rsidP="008768C7">
      <w:pPr>
        <w:spacing w:line="276" w:lineRule="auto"/>
        <w:jc w:val="both"/>
        <w:rPr>
          <w:rFonts w:ascii="Arial" w:hAnsi="Arial" w:cs="Arial"/>
          <w:b/>
          <w:lang w:val="sq-AL"/>
        </w:rPr>
      </w:pPr>
      <w:r w:rsidRPr="001D50E3">
        <w:rPr>
          <w:rFonts w:ascii="Arial" w:hAnsi="Arial" w:cs="Arial"/>
          <w:b/>
          <w:lang w:val="sq-AL"/>
        </w:rPr>
        <w:t>Video - Filma të shkurtër rreth ngjarjeve për promovimin e Programit do të prodhohen gjatë gjithë periudhës së programimit.</w:t>
      </w:r>
    </w:p>
    <w:p w:rsidR="00FF2EC0" w:rsidRPr="001D50E3" w:rsidRDefault="00FF2EC0" w:rsidP="008768C7">
      <w:pPr>
        <w:spacing w:line="276" w:lineRule="auto"/>
        <w:jc w:val="both"/>
        <w:rPr>
          <w:rFonts w:ascii="Arial" w:hAnsi="Arial" w:cs="Arial"/>
          <w:b/>
          <w:lang w:val="sq-AL"/>
        </w:rPr>
      </w:pPr>
      <w:r w:rsidRPr="001D50E3">
        <w:rPr>
          <w:rFonts w:ascii="Arial" w:hAnsi="Arial" w:cs="Arial"/>
          <w:b/>
          <w:lang w:val="sq-AL"/>
        </w:rPr>
        <w:t>Materialet promovuese - banderola / dhurata / pajisje promovuese do të shpërndahen gjatë ngjarjeve publike</w:t>
      </w:r>
    </w:p>
    <w:p w:rsidR="00FF2EC0" w:rsidRPr="001D50E3" w:rsidRDefault="00FF2EC0" w:rsidP="008768C7">
      <w:pPr>
        <w:spacing w:line="276" w:lineRule="auto"/>
        <w:jc w:val="both"/>
        <w:rPr>
          <w:rFonts w:ascii="Arial" w:hAnsi="Arial" w:cs="Arial"/>
          <w:b/>
          <w:lang w:val="sq-AL"/>
        </w:rPr>
      </w:pPr>
      <w:r w:rsidRPr="001D50E3">
        <w:rPr>
          <w:rFonts w:ascii="Arial" w:hAnsi="Arial" w:cs="Arial"/>
          <w:b/>
          <w:lang w:val="sq-AL"/>
        </w:rPr>
        <w:t>Ngjarje dhe takime</w:t>
      </w:r>
    </w:p>
    <w:p w:rsidR="00FF2EC0" w:rsidRPr="001D50E3" w:rsidRDefault="00FF2EC0" w:rsidP="008768C7">
      <w:pPr>
        <w:spacing w:line="276" w:lineRule="auto"/>
        <w:jc w:val="both"/>
        <w:rPr>
          <w:rFonts w:ascii="Arial" w:hAnsi="Arial" w:cs="Arial"/>
          <w:b/>
          <w:lang w:val="sq-AL"/>
        </w:rPr>
      </w:pPr>
      <w:r w:rsidRPr="001D50E3">
        <w:rPr>
          <w:rFonts w:ascii="Arial" w:hAnsi="Arial" w:cs="Arial"/>
          <w:b/>
          <w:lang w:val="sq-AL"/>
        </w:rPr>
        <w:lastRenderedPageBreak/>
        <w:t>Ndërveprimi njerëzor është thelbësor për ndërtimin e besimit dhe për të mundësuar bashkëpunimin. Si një mjet për të arritur përdoruesit dhe ndikuesit, ngjarjet do t'i kthejnë pjesëmarrësit në veprim.</w:t>
      </w:r>
    </w:p>
    <w:p w:rsidR="00FF2EC0" w:rsidRPr="001D50E3" w:rsidRDefault="00FF2EC0" w:rsidP="008768C7">
      <w:pPr>
        <w:spacing w:line="276" w:lineRule="auto"/>
        <w:jc w:val="both"/>
        <w:rPr>
          <w:rFonts w:ascii="Arial" w:hAnsi="Arial" w:cs="Arial"/>
          <w:b/>
          <w:lang w:val="sq-AL"/>
        </w:rPr>
      </w:pPr>
      <w:r w:rsidRPr="001D50E3">
        <w:rPr>
          <w:rFonts w:ascii="Arial" w:hAnsi="Arial" w:cs="Arial"/>
          <w:b/>
          <w:lang w:val="sq-AL"/>
        </w:rPr>
        <w:t>Vëmendje e veçantë do t'i kushtohet llojit të ri të përfituesve, siç janë MSME-të, për sa i përket fushatave të gjera informuese mbi mundësitë e financimit dhe ngjarjet e bashkimit të partnerëve.</w:t>
      </w:r>
    </w:p>
    <w:p w:rsidR="00FF2EC0" w:rsidRPr="001D50E3" w:rsidRDefault="00FF2EC0" w:rsidP="008768C7">
      <w:pPr>
        <w:spacing w:line="276" w:lineRule="auto"/>
        <w:jc w:val="both"/>
        <w:rPr>
          <w:rFonts w:ascii="Arial" w:hAnsi="Arial" w:cs="Arial"/>
          <w:b/>
          <w:lang w:val="sq-AL"/>
        </w:rPr>
      </w:pPr>
      <w:r w:rsidRPr="001D50E3">
        <w:rPr>
          <w:rFonts w:ascii="Arial" w:hAnsi="Arial" w:cs="Arial"/>
          <w:b/>
          <w:lang w:val="sq-AL"/>
        </w:rPr>
        <w:t>Një tjetër element i rëndësishëm i kushtohet faktit se strategjia KP 5 është prioritet me peshën më të madhe buxhetore. Aktivitetet e komunikimit do të iniciohen gjatë zhvillimit të strategjisë përmes një qasjeje të gjerë pjesëmarrëse që përfshin të gjithë aktorët. Përgatitja e listës së operacioneve do të bëhet në mënyrë transparente bazuar në konsultimet me promotorët e mundshëm të projektit.</w:t>
      </w:r>
    </w:p>
    <w:p w:rsidR="00FF2EC0" w:rsidRPr="001D50E3" w:rsidRDefault="00FF2EC0" w:rsidP="008768C7">
      <w:pPr>
        <w:spacing w:line="276" w:lineRule="auto"/>
        <w:jc w:val="both"/>
        <w:rPr>
          <w:rFonts w:ascii="Arial" w:hAnsi="Arial" w:cs="Arial"/>
          <w:b/>
          <w:lang w:val="sq-AL"/>
        </w:rPr>
      </w:pPr>
      <w:r w:rsidRPr="001D50E3">
        <w:rPr>
          <w:rFonts w:ascii="Arial" w:hAnsi="Arial" w:cs="Arial"/>
          <w:b/>
          <w:lang w:val="sq-AL"/>
        </w:rPr>
        <w:t>Trajnimet</w:t>
      </w:r>
    </w:p>
    <w:p w:rsidR="00FF2EC0" w:rsidRPr="001D50E3" w:rsidRDefault="00FF2EC0" w:rsidP="008768C7">
      <w:pPr>
        <w:spacing w:line="276" w:lineRule="auto"/>
        <w:jc w:val="both"/>
        <w:rPr>
          <w:rFonts w:ascii="Arial" w:hAnsi="Arial" w:cs="Arial"/>
          <w:b/>
          <w:lang w:val="sq-AL"/>
        </w:rPr>
      </w:pPr>
      <w:r w:rsidRPr="001D50E3">
        <w:rPr>
          <w:rFonts w:ascii="Arial" w:hAnsi="Arial" w:cs="Arial"/>
          <w:b/>
          <w:lang w:val="sq-AL"/>
        </w:rPr>
        <w:t>Ofrohen trajnime për përdoruesit për çështje që lidhen me realizimin e projekteve.</w:t>
      </w:r>
    </w:p>
    <w:p w:rsidR="00FF2EC0" w:rsidRPr="001D50E3" w:rsidRDefault="00FF2EC0" w:rsidP="008768C7">
      <w:pPr>
        <w:spacing w:line="276" w:lineRule="auto"/>
        <w:jc w:val="both"/>
        <w:rPr>
          <w:rFonts w:ascii="Arial" w:hAnsi="Arial" w:cs="Arial"/>
          <w:b/>
          <w:lang w:val="sq-AL"/>
        </w:rPr>
      </w:pPr>
      <w:r w:rsidRPr="001D50E3">
        <w:rPr>
          <w:rFonts w:ascii="Arial" w:hAnsi="Arial" w:cs="Arial"/>
          <w:b/>
          <w:lang w:val="sq-AL"/>
        </w:rPr>
        <w:t>BUXHET</w:t>
      </w:r>
    </w:p>
    <w:p w:rsidR="00FF2EC0" w:rsidRPr="001D50E3" w:rsidRDefault="00FF2EC0" w:rsidP="008768C7">
      <w:pPr>
        <w:spacing w:line="276" w:lineRule="auto"/>
        <w:jc w:val="both"/>
        <w:rPr>
          <w:rFonts w:ascii="Arial" w:hAnsi="Arial" w:cs="Arial"/>
          <w:b/>
          <w:lang w:val="sq-AL"/>
        </w:rPr>
      </w:pPr>
      <w:r w:rsidRPr="001D50E3">
        <w:rPr>
          <w:rFonts w:ascii="Arial" w:hAnsi="Arial" w:cs="Arial"/>
          <w:b/>
          <w:lang w:val="sq-AL"/>
        </w:rPr>
        <w:t>- Buxheti i planifikuar është i barabartë ose më i madh se…% e totalit të buxhetit të programit.</w:t>
      </w:r>
    </w:p>
    <w:p w:rsidR="00FF2EC0" w:rsidRPr="001D50E3" w:rsidRDefault="00FF2EC0" w:rsidP="008768C7">
      <w:pPr>
        <w:spacing w:line="276" w:lineRule="auto"/>
        <w:jc w:val="both"/>
        <w:rPr>
          <w:rFonts w:ascii="Arial" w:hAnsi="Arial" w:cs="Arial"/>
          <w:b/>
          <w:lang w:val="sq-AL"/>
        </w:rPr>
      </w:pPr>
      <w:r w:rsidRPr="001D50E3">
        <w:rPr>
          <w:rFonts w:ascii="Arial" w:hAnsi="Arial" w:cs="Arial"/>
          <w:b/>
          <w:lang w:val="sq-AL"/>
        </w:rPr>
        <w:t>- përshkrimi është një plan financiar tregues sipas aktivitetit/kanalit dhe vitit.</w:t>
      </w:r>
    </w:p>
    <w:p w:rsidR="00FF2EC0" w:rsidRPr="001D50E3" w:rsidRDefault="00FF2EC0" w:rsidP="008768C7">
      <w:pPr>
        <w:spacing w:line="276" w:lineRule="auto"/>
        <w:jc w:val="both"/>
        <w:rPr>
          <w:rFonts w:ascii="Arial" w:hAnsi="Arial" w:cs="Arial"/>
          <w:b/>
          <w:lang w:val="sq-AL"/>
        </w:rPr>
      </w:pPr>
      <w:r w:rsidRPr="001D50E3">
        <w:rPr>
          <w:rFonts w:ascii="Arial" w:hAnsi="Arial" w:cs="Arial"/>
          <w:b/>
          <w:lang w:val="sq-AL"/>
        </w:rPr>
        <w:t>Kostot treguese janë të zbërthyera:</w:t>
      </w:r>
    </w:p>
    <w:p w:rsidR="00FF2EC0" w:rsidRPr="001D50E3" w:rsidRDefault="00FF2EC0" w:rsidP="008768C7">
      <w:pPr>
        <w:spacing w:line="276" w:lineRule="auto"/>
        <w:jc w:val="both"/>
        <w:rPr>
          <w:rFonts w:ascii="Arial" w:hAnsi="Arial" w:cs="Arial"/>
          <w:b/>
          <w:lang w:val="sq-AL"/>
        </w:rPr>
      </w:pPr>
      <w:r w:rsidRPr="001D50E3">
        <w:rPr>
          <w:rFonts w:ascii="Arial" w:hAnsi="Arial" w:cs="Arial"/>
          <w:b/>
          <w:lang w:val="sq-AL"/>
        </w:rPr>
        <w:t>MONITORIMI DHE VLERËSIMI</w:t>
      </w:r>
    </w:p>
    <w:p w:rsidR="00FF2EC0" w:rsidRPr="001D50E3" w:rsidRDefault="00FF2EC0" w:rsidP="008768C7">
      <w:pPr>
        <w:spacing w:line="276" w:lineRule="auto"/>
        <w:jc w:val="both"/>
        <w:rPr>
          <w:rFonts w:ascii="Arial" w:hAnsi="Arial" w:cs="Arial"/>
          <w:b/>
          <w:lang w:val="sq-AL"/>
        </w:rPr>
      </w:pPr>
      <w:r w:rsidRPr="001D50E3">
        <w:rPr>
          <w:rFonts w:ascii="Arial" w:hAnsi="Arial" w:cs="Arial"/>
          <w:b/>
          <w:lang w:val="sq-AL"/>
        </w:rPr>
        <w:t>Bordi Drejtues do të informojë SH.A.-në një herë në vit për progresin në zbatimin e veprimeve të komunikimit.</w:t>
      </w:r>
    </w:p>
    <w:p w:rsidR="00FF2EC0" w:rsidRPr="001D50E3" w:rsidRDefault="00FF2EC0" w:rsidP="008768C7">
      <w:pPr>
        <w:spacing w:line="276" w:lineRule="auto"/>
        <w:jc w:val="both"/>
        <w:rPr>
          <w:rFonts w:ascii="Arial" w:hAnsi="Arial" w:cs="Arial"/>
          <w:b/>
          <w:lang w:val="sq-AL"/>
        </w:rPr>
      </w:pPr>
      <w:r w:rsidRPr="001D50E3">
        <w:rPr>
          <w:rFonts w:ascii="Arial" w:hAnsi="Arial" w:cs="Arial"/>
          <w:b/>
          <w:lang w:val="sq-AL"/>
        </w:rPr>
        <w:t>Çdo vit, Bordi Menaxhues, së bashku me AK-në dhe Bordin Mbikëqyrës, do të zhvillojnë një Plan Vjetor të Komunikimit. Ai do të fokusohet në aktivitetet e komunikimit për vitin në përputhje me performancën e planifikuar të Programit.</w:t>
      </w:r>
    </w:p>
    <w:p w:rsidR="00FF2EC0" w:rsidRPr="001D50E3" w:rsidRDefault="00FF2EC0" w:rsidP="008768C7">
      <w:pPr>
        <w:spacing w:line="276" w:lineRule="auto"/>
        <w:jc w:val="both"/>
        <w:rPr>
          <w:rFonts w:ascii="Arial" w:hAnsi="Arial" w:cs="Arial"/>
          <w:b/>
          <w:lang w:val="sq-AL"/>
        </w:rPr>
      </w:pPr>
      <w:r w:rsidRPr="001D50E3">
        <w:rPr>
          <w:rFonts w:ascii="Arial" w:hAnsi="Arial" w:cs="Arial"/>
          <w:b/>
          <w:lang w:val="sq-AL"/>
        </w:rPr>
        <w:t>Të gjitha aktivitetet do të vlerësohen rregullisht nga brenda dhe rezultatet do të paraqiten për miratim dhe udhëzim në SHA. Të dhënat e vlerësimit të objektivit të komunikimit do të nxirren nga anketat, statistikat e brendshme, raportet e projektit dhe analitika e faqeve të internetit. Vlerësimi i strategjisë së komunikimit do të jetë gjithashtu pjesë e masave të vlerësimit</w:t>
      </w:r>
    </w:p>
    <w:p w:rsidR="00FF2EC0" w:rsidRPr="001D50E3" w:rsidRDefault="00FF2EC0" w:rsidP="008768C7">
      <w:pPr>
        <w:spacing w:line="276" w:lineRule="auto"/>
        <w:jc w:val="both"/>
        <w:rPr>
          <w:rFonts w:ascii="Arial" w:hAnsi="Arial" w:cs="Arial"/>
          <w:b/>
          <w:lang w:val="sq-AL"/>
        </w:rPr>
      </w:pPr>
    </w:p>
    <w:tbl>
      <w:tblPr>
        <w:tblStyle w:val="TableGrid2"/>
        <w:tblW w:w="0" w:type="auto"/>
        <w:jc w:val="center"/>
        <w:tblLook w:val="04A0" w:firstRow="1" w:lastRow="0" w:firstColumn="1" w:lastColumn="0" w:noHBand="0" w:noVBand="1"/>
      </w:tblPr>
      <w:tblGrid>
        <w:gridCol w:w="1880"/>
        <w:gridCol w:w="2614"/>
        <w:gridCol w:w="1466"/>
        <w:gridCol w:w="1937"/>
        <w:gridCol w:w="1679"/>
      </w:tblGrid>
      <w:tr w:rsidR="00FF2EC0" w:rsidRPr="001D50E3" w:rsidTr="00754C28">
        <w:trPr>
          <w:jc w:val="center"/>
        </w:trPr>
        <w:tc>
          <w:tcPr>
            <w:tcW w:w="1894" w:type="dxa"/>
            <w:tcBorders>
              <w:top w:val="single" w:sz="4" w:space="0" w:color="auto"/>
              <w:left w:val="single" w:sz="4" w:space="0" w:color="auto"/>
              <w:bottom w:val="single" w:sz="4" w:space="0" w:color="auto"/>
              <w:right w:val="single" w:sz="4" w:space="0" w:color="auto"/>
            </w:tcBorders>
            <w:vAlign w:val="center"/>
            <w:hideMark/>
          </w:tcPr>
          <w:p w:rsidR="00FF2EC0" w:rsidRPr="001D50E3" w:rsidRDefault="00FF2EC0" w:rsidP="008768C7">
            <w:pPr>
              <w:spacing w:after="160" w:line="276" w:lineRule="auto"/>
              <w:jc w:val="both"/>
              <w:rPr>
                <w:rFonts w:ascii="Arial" w:hAnsi="Arial" w:cs="Arial"/>
                <w:sz w:val="22"/>
                <w:szCs w:val="22"/>
              </w:rPr>
            </w:pPr>
            <w:r w:rsidRPr="001D50E3">
              <w:rPr>
                <w:rFonts w:ascii="Arial" w:hAnsi="Arial" w:cs="Arial"/>
                <w:sz w:val="22"/>
                <w:szCs w:val="22"/>
                <w:lang w:val="sq-AL"/>
              </w:rPr>
              <w:t xml:space="preserve">Lloj i </w:t>
            </w:r>
            <w:r w:rsidRPr="001D50E3">
              <w:rPr>
                <w:rFonts w:ascii="Arial" w:hAnsi="Arial" w:cs="Arial"/>
                <w:sz w:val="22"/>
                <w:szCs w:val="22"/>
              </w:rPr>
              <w:t>aktiviteteve</w:t>
            </w:r>
          </w:p>
        </w:tc>
        <w:tc>
          <w:tcPr>
            <w:tcW w:w="2048" w:type="dxa"/>
            <w:tcBorders>
              <w:top w:val="single" w:sz="4" w:space="0" w:color="auto"/>
              <w:left w:val="single" w:sz="4" w:space="0" w:color="auto"/>
              <w:bottom w:val="single" w:sz="4" w:space="0" w:color="auto"/>
              <w:right w:val="single" w:sz="4" w:space="0" w:color="auto"/>
            </w:tcBorders>
            <w:vAlign w:val="center"/>
            <w:hideMark/>
          </w:tcPr>
          <w:p w:rsidR="00FF2EC0" w:rsidRPr="001D50E3" w:rsidRDefault="00FF2EC0" w:rsidP="008768C7">
            <w:pPr>
              <w:spacing w:after="160" w:line="276" w:lineRule="auto"/>
              <w:jc w:val="both"/>
              <w:rPr>
                <w:rFonts w:ascii="Arial" w:hAnsi="Arial" w:cs="Arial"/>
                <w:sz w:val="22"/>
                <w:szCs w:val="22"/>
              </w:rPr>
            </w:pPr>
            <w:r w:rsidRPr="001D50E3">
              <w:rPr>
                <w:rFonts w:ascii="Arial" w:hAnsi="Arial" w:cs="Arial"/>
                <w:sz w:val="22"/>
                <w:szCs w:val="22"/>
              </w:rPr>
              <w:t>Nga treguesi</w:t>
            </w:r>
          </w:p>
        </w:tc>
        <w:tc>
          <w:tcPr>
            <w:tcW w:w="1482" w:type="dxa"/>
            <w:tcBorders>
              <w:top w:val="single" w:sz="4" w:space="0" w:color="auto"/>
              <w:left w:val="single" w:sz="4" w:space="0" w:color="auto"/>
              <w:bottom w:val="single" w:sz="4" w:space="0" w:color="auto"/>
              <w:right w:val="single" w:sz="4" w:space="0" w:color="auto"/>
            </w:tcBorders>
            <w:vAlign w:val="center"/>
            <w:hideMark/>
          </w:tcPr>
          <w:p w:rsidR="00FF2EC0" w:rsidRPr="001D50E3" w:rsidRDefault="00FF2EC0" w:rsidP="008768C7">
            <w:pPr>
              <w:spacing w:line="276" w:lineRule="auto"/>
              <w:jc w:val="both"/>
              <w:rPr>
                <w:rFonts w:ascii="Arial" w:hAnsi="Arial" w:cs="Arial"/>
                <w:sz w:val="22"/>
                <w:szCs w:val="22"/>
                <w:lang w:val="sq-AL"/>
              </w:rPr>
            </w:pPr>
            <w:r w:rsidRPr="001D50E3">
              <w:rPr>
                <w:rFonts w:ascii="Arial" w:hAnsi="Arial" w:cs="Arial"/>
                <w:sz w:val="22"/>
                <w:szCs w:val="22"/>
                <w:lang w:val="sq-AL"/>
              </w:rPr>
              <w:t>Gjitha</w:t>
            </w:r>
          </w:p>
          <w:p w:rsidR="00FF2EC0" w:rsidRPr="001D50E3" w:rsidRDefault="00FF2EC0" w:rsidP="008768C7">
            <w:pPr>
              <w:spacing w:after="160" w:line="276" w:lineRule="auto"/>
              <w:jc w:val="both"/>
              <w:rPr>
                <w:rFonts w:ascii="Arial" w:hAnsi="Arial" w:cs="Arial"/>
                <w:sz w:val="22"/>
                <w:szCs w:val="22"/>
              </w:rPr>
            </w:pPr>
            <w:r w:rsidRPr="001D50E3">
              <w:rPr>
                <w:rFonts w:ascii="Arial" w:hAnsi="Arial" w:cs="Arial"/>
                <w:sz w:val="22"/>
                <w:szCs w:val="22"/>
              </w:rPr>
              <w:t>2027</w:t>
            </w:r>
          </w:p>
        </w:tc>
        <w:tc>
          <w:tcPr>
            <w:tcW w:w="1948" w:type="dxa"/>
            <w:tcBorders>
              <w:top w:val="single" w:sz="4" w:space="0" w:color="auto"/>
              <w:left w:val="single" w:sz="4" w:space="0" w:color="auto"/>
              <w:bottom w:val="single" w:sz="4" w:space="0" w:color="auto"/>
              <w:right w:val="single" w:sz="4" w:space="0" w:color="auto"/>
            </w:tcBorders>
            <w:vAlign w:val="center"/>
            <w:hideMark/>
          </w:tcPr>
          <w:p w:rsidR="00FF2EC0" w:rsidRPr="001D50E3" w:rsidRDefault="00FF2EC0" w:rsidP="008768C7">
            <w:pPr>
              <w:spacing w:after="160" w:line="276" w:lineRule="auto"/>
              <w:jc w:val="both"/>
              <w:rPr>
                <w:rFonts w:ascii="Arial" w:hAnsi="Arial" w:cs="Arial"/>
                <w:sz w:val="22"/>
                <w:szCs w:val="22"/>
                <w:lang w:val="sq-AL"/>
              </w:rPr>
            </w:pPr>
            <w:r w:rsidRPr="001D50E3">
              <w:rPr>
                <w:rFonts w:ascii="Arial" w:hAnsi="Arial" w:cs="Arial"/>
                <w:sz w:val="22"/>
                <w:szCs w:val="22"/>
                <w:lang w:val="sq-AL"/>
              </w:rPr>
              <w:t>Indikator per rezulltate</w:t>
            </w:r>
          </w:p>
        </w:tc>
        <w:tc>
          <w:tcPr>
            <w:tcW w:w="1690" w:type="dxa"/>
            <w:tcBorders>
              <w:top w:val="single" w:sz="4" w:space="0" w:color="auto"/>
              <w:left w:val="single" w:sz="4" w:space="0" w:color="auto"/>
              <w:bottom w:val="single" w:sz="4" w:space="0" w:color="auto"/>
              <w:right w:val="single" w:sz="4" w:space="0" w:color="auto"/>
            </w:tcBorders>
            <w:vAlign w:val="center"/>
            <w:hideMark/>
          </w:tcPr>
          <w:p w:rsidR="00FF2EC0" w:rsidRPr="001D50E3" w:rsidRDefault="00FF2EC0" w:rsidP="008768C7">
            <w:pPr>
              <w:spacing w:line="276" w:lineRule="auto"/>
              <w:jc w:val="both"/>
              <w:rPr>
                <w:rFonts w:ascii="Arial" w:hAnsi="Arial" w:cs="Arial"/>
                <w:sz w:val="22"/>
                <w:szCs w:val="22"/>
                <w:lang w:val="sq-AL"/>
              </w:rPr>
            </w:pPr>
            <w:r w:rsidRPr="001D50E3">
              <w:rPr>
                <w:rFonts w:ascii="Arial" w:hAnsi="Arial" w:cs="Arial"/>
                <w:sz w:val="22"/>
                <w:szCs w:val="22"/>
                <w:lang w:val="sq-AL"/>
              </w:rPr>
              <w:t>Qëllimi</w:t>
            </w:r>
          </w:p>
          <w:p w:rsidR="00FF2EC0" w:rsidRPr="001D50E3" w:rsidRDefault="00FF2EC0" w:rsidP="008768C7">
            <w:pPr>
              <w:spacing w:after="160" w:line="276" w:lineRule="auto"/>
              <w:jc w:val="both"/>
              <w:rPr>
                <w:rFonts w:ascii="Arial" w:hAnsi="Arial" w:cs="Arial"/>
                <w:sz w:val="22"/>
                <w:szCs w:val="22"/>
              </w:rPr>
            </w:pPr>
            <w:r w:rsidRPr="001D50E3">
              <w:rPr>
                <w:rFonts w:ascii="Arial" w:hAnsi="Arial" w:cs="Arial"/>
                <w:sz w:val="22"/>
                <w:szCs w:val="22"/>
              </w:rPr>
              <w:t>2027</w:t>
            </w:r>
          </w:p>
        </w:tc>
      </w:tr>
      <w:tr w:rsidR="00FF2EC0" w:rsidRPr="001D50E3" w:rsidTr="00754C28">
        <w:trPr>
          <w:trHeight w:val="803"/>
          <w:jc w:val="center"/>
        </w:trPr>
        <w:tc>
          <w:tcPr>
            <w:tcW w:w="1894" w:type="dxa"/>
            <w:vMerge w:val="restart"/>
            <w:tcBorders>
              <w:top w:val="single" w:sz="4" w:space="0" w:color="auto"/>
              <w:left w:val="single" w:sz="4" w:space="0" w:color="auto"/>
              <w:bottom w:val="single" w:sz="4" w:space="0" w:color="auto"/>
              <w:right w:val="single" w:sz="4" w:space="0" w:color="auto"/>
            </w:tcBorders>
            <w:vAlign w:val="center"/>
            <w:hideMark/>
          </w:tcPr>
          <w:p w:rsidR="00FF2EC0" w:rsidRPr="001D50E3" w:rsidRDefault="00FF2EC0" w:rsidP="008768C7">
            <w:pPr>
              <w:spacing w:after="160" w:line="276" w:lineRule="auto"/>
              <w:jc w:val="both"/>
              <w:rPr>
                <w:rFonts w:ascii="Arial" w:hAnsi="Arial" w:cs="Arial"/>
                <w:sz w:val="22"/>
                <w:szCs w:val="22"/>
                <w:lang w:val="sq-AL"/>
              </w:rPr>
            </w:pPr>
            <w:r w:rsidRPr="001D50E3">
              <w:rPr>
                <w:rFonts w:ascii="Arial" w:hAnsi="Arial" w:cs="Arial"/>
                <w:sz w:val="22"/>
                <w:szCs w:val="22"/>
                <w:lang w:val="sq-AL"/>
              </w:rPr>
              <w:t xml:space="preserve">Ngjarjet </w:t>
            </w:r>
          </w:p>
        </w:tc>
        <w:tc>
          <w:tcPr>
            <w:tcW w:w="2048" w:type="dxa"/>
            <w:tcBorders>
              <w:top w:val="single" w:sz="4" w:space="0" w:color="auto"/>
              <w:left w:val="single" w:sz="4" w:space="0" w:color="auto"/>
              <w:bottom w:val="single" w:sz="4" w:space="0" w:color="auto"/>
              <w:right w:val="single" w:sz="4" w:space="0" w:color="auto"/>
            </w:tcBorders>
            <w:vAlign w:val="center"/>
            <w:hideMark/>
          </w:tcPr>
          <w:p w:rsidR="00FF2EC0" w:rsidRPr="001D50E3" w:rsidRDefault="00FF2EC0" w:rsidP="008768C7">
            <w:pPr>
              <w:spacing w:after="160" w:line="276" w:lineRule="auto"/>
              <w:jc w:val="both"/>
              <w:rPr>
                <w:rFonts w:ascii="Arial" w:hAnsi="Arial" w:cs="Arial"/>
                <w:sz w:val="22"/>
                <w:szCs w:val="22"/>
              </w:rPr>
            </w:pPr>
            <w:r w:rsidRPr="001D50E3">
              <w:rPr>
                <w:rFonts w:ascii="Arial" w:hAnsi="Arial" w:cs="Arial"/>
                <w:sz w:val="22"/>
                <w:szCs w:val="22"/>
              </w:rPr>
              <w:t>Njoftimet e ngjarjeve për potencialin e aplikacionit / Përdoruesit / засегнати страни / општата publike</w:t>
            </w:r>
          </w:p>
        </w:tc>
        <w:tc>
          <w:tcPr>
            <w:tcW w:w="1482" w:type="dxa"/>
            <w:tcBorders>
              <w:top w:val="single" w:sz="4" w:space="0" w:color="auto"/>
              <w:left w:val="single" w:sz="4" w:space="0" w:color="auto"/>
              <w:bottom w:val="single" w:sz="4" w:space="0" w:color="auto"/>
              <w:right w:val="single" w:sz="4" w:space="0" w:color="auto"/>
            </w:tcBorders>
            <w:vAlign w:val="center"/>
            <w:hideMark/>
          </w:tcPr>
          <w:p w:rsidR="00FF2EC0" w:rsidRPr="001D50E3" w:rsidRDefault="00FF2EC0" w:rsidP="008768C7">
            <w:pPr>
              <w:spacing w:after="160" w:line="276" w:lineRule="auto"/>
              <w:jc w:val="both"/>
              <w:rPr>
                <w:rFonts w:ascii="Arial" w:hAnsi="Arial" w:cs="Arial"/>
                <w:sz w:val="22"/>
                <w:szCs w:val="22"/>
              </w:rPr>
            </w:pPr>
            <w:r w:rsidRPr="001D50E3">
              <w:rPr>
                <w:rFonts w:ascii="Arial" w:hAnsi="Arial" w:cs="Arial"/>
                <w:sz w:val="22"/>
                <w:szCs w:val="22"/>
              </w:rPr>
              <w:t>28</w:t>
            </w:r>
          </w:p>
        </w:tc>
        <w:tc>
          <w:tcPr>
            <w:tcW w:w="1948" w:type="dxa"/>
            <w:vMerge w:val="restart"/>
            <w:tcBorders>
              <w:top w:val="single" w:sz="4" w:space="0" w:color="auto"/>
              <w:left w:val="single" w:sz="4" w:space="0" w:color="auto"/>
              <w:bottom w:val="single" w:sz="4" w:space="0" w:color="auto"/>
              <w:right w:val="single" w:sz="4" w:space="0" w:color="auto"/>
            </w:tcBorders>
            <w:vAlign w:val="center"/>
            <w:hideMark/>
          </w:tcPr>
          <w:p w:rsidR="00FF2EC0" w:rsidRPr="001D50E3" w:rsidRDefault="00FF2EC0" w:rsidP="008768C7">
            <w:pPr>
              <w:spacing w:after="160" w:line="276" w:lineRule="auto"/>
              <w:jc w:val="both"/>
              <w:rPr>
                <w:rFonts w:ascii="Arial" w:hAnsi="Arial" w:cs="Arial"/>
                <w:sz w:val="22"/>
                <w:szCs w:val="22"/>
                <w:lang w:val="sq-AL"/>
              </w:rPr>
            </w:pPr>
          </w:p>
          <w:p w:rsidR="00FF2EC0" w:rsidRPr="001D50E3" w:rsidRDefault="00FF2EC0" w:rsidP="008768C7">
            <w:pPr>
              <w:spacing w:after="160" w:line="276" w:lineRule="auto"/>
              <w:jc w:val="both"/>
              <w:rPr>
                <w:rFonts w:ascii="Arial" w:hAnsi="Arial" w:cs="Arial"/>
                <w:sz w:val="22"/>
                <w:szCs w:val="22"/>
                <w:lang w:val="sq-AL"/>
              </w:rPr>
            </w:pPr>
            <w:r w:rsidRPr="001D50E3">
              <w:rPr>
                <w:rFonts w:ascii="Arial" w:hAnsi="Arial" w:cs="Arial"/>
                <w:sz w:val="22"/>
                <w:szCs w:val="22"/>
                <w:lang w:val="sq-AL"/>
              </w:rPr>
              <w:t xml:space="preserve">Dobishmëri e pergjithshme e publikimeve për </w:t>
            </w:r>
            <w:r w:rsidRPr="001D50E3">
              <w:rPr>
                <w:rFonts w:ascii="Arial" w:hAnsi="Arial" w:cs="Arial"/>
                <w:sz w:val="22"/>
                <w:szCs w:val="22"/>
                <w:lang w:val="sq-AL"/>
              </w:rPr>
              <w:lastRenderedPageBreak/>
              <w:t xml:space="preserve">lexuesit </w:t>
            </w:r>
            <w:r w:rsidRPr="001D50E3">
              <w:rPr>
                <w:rFonts w:ascii="Arial" w:hAnsi="Arial" w:cs="Arial"/>
                <w:sz w:val="22"/>
                <w:szCs w:val="22"/>
              </w:rPr>
              <w:t xml:space="preserve"> (anketa)</w:t>
            </w:r>
          </w:p>
        </w:tc>
        <w:tc>
          <w:tcPr>
            <w:tcW w:w="1690" w:type="dxa"/>
            <w:vMerge w:val="restart"/>
            <w:tcBorders>
              <w:top w:val="single" w:sz="4" w:space="0" w:color="auto"/>
              <w:left w:val="single" w:sz="4" w:space="0" w:color="auto"/>
              <w:bottom w:val="single" w:sz="4" w:space="0" w:color="auto"/>
              <w:right w:val="single" w:sz="4" w:space="0" w:color="auto"/>
            </w:tcBorders>
            <w:vAlign w:val="center"/>
            <w:hideMark/>
          </w:tcPr>
          <w:p w:rsidR="00FF2EC0" w:rsidRPr="001D50E3" w:rsidRDefault="00FF2EC0" w:rsidP="008768C7">
            <w:pPr>
              <w:spacing w:after="160" w:line="276" w:lineRule="auto"/>
              <w:jc w:val="both"/>
              <w:rPr>
                <w:rFonts w:ascii="Arial" w:hAnsi="Arial" w:cs="Arial"/>
                <w:sz w:val="22"/>
                <w:szCs w:val="22"/>
              </w:rPr>
            </w:pPr>
            <w:r w:rsidRPr="001D50E3">
              <w:rPr>
                <w:rFonts w:ascii="Arial" w:hAnsi="Arial" w:cs="Arial"/>
                <w:sz w:val="22"/>
                <w:szCs w:val="22"/>
              </w:rPr>
              <w:lastRenderedPageBreak/>
              <w:t>75% rezultat sipas skalatit për vlerësimin e klientëve</w:t>
            </w:r>
          </w:p>
        </w:tc>
      </w:tr>
      <w:tr w:rsidR="00FF2EC0" w:rsidRPr="001D50E3" w:rsidTr="00754C28">
        <w:trPr>
          <w:trHeight w:val="80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F2EC0" w:rsidRPr="001D50E3" w:rsidRDefault="00FF2EC0" w:rsidP="008768C7">
            <w:pPr>
              <w:spacing w:line="276" w:lineRule="auto"/>
              <w:jc w:val="both"/>
              <w:rPr>
                <w:rFonts w:ascii="Arial" w:hAnsi="Arial" w:cs="Arial"/>
                <w:sz w:val="22"/>
                <w:szCs w:val="22"/>
              </w:rPr>
            </w:pPr>
          </w:p>
        </w:tc>
        <w:tc>
          <w:tcPr>
            <w:tcW w:w="2048" w:type="dxa"/>
            <w:tcBorders>
              <w:top w:val="single" w:sz="4" w:space="0" w:color="auto"/>
              <w:left w:val="single" w:sz="4" w:space="0" w:color="auto"/>
              <w:bottom w:val="single" w:sz="4" w:space="0" w:color="auto"/>
              <w:right w:val="single" w:sz="4" w:space="0" w:color="auto"/>
            </w:tcBorders>
            <w:vAlign w:val="center"/>
            <w:hideMark/>
          </w:tcPr>
          <w:p w:rsidR="00FF2EC0" w:rsidRPr="001D50E3" w:rsidRDefault="00FF2EC0" w:rsidP="008768C7">
            <w:pPr>
              <w:spacing w:after="160" w:line="276" w:lineRule="auto"/>
              <w:jc w:val="both"/>
              <w:rPr>
                <w:rFonts w:ascii="Arial" w:hAnsi="Arial" w:cs="Arial"/>
                <w:sz w:val="22"/>
                <w:szCs w:val="22"/>
              </w:rPr>
            </w:pPr>
            <w:r w:rsidRPr="001D50E3">
              <w:rPr>
                <w:rFonts w:ascii="Arial" w:hAnsi="Arial" w:cs="Arial"/>
                <w:sz w:val="22"/>
                <w:szCs w:val="22"/>
              </w:rPr>
              <w:t>Numri i pjesëmarrësve në ngjarjet</w:t>
            </w:r>
          </w:p>
        </w:tc>
        <w:tc>
          <w:tcPr>
            <w:tcW w:w="1482" w:type="dxa"/>
            <w:tcBorders>
              <w:top w:val="single" w:sz="4" w:space="0" w:color="auto"/>
              <w:left w:val="single" w:sz="4" w:space="0" w:color="auto"/>
              <w:bottom w:val="single" w:sz="4" w:space="0" w:color="auto"/>
              <w:right w:val="single" w:sz="4" w:space="0" w:color="auto"/>
            </w:tcBorders>
            <w:vAlign w:val="center"/>
            <w:hideMark/>
          </w:tcPr>
          <w:p w:rsidR="00FF2EC0" w:rsidRPr="001D50E3" w:rsidRDefault="00FF2EC0" w:rsidP="008768C7">
            <w:pPr>
              <w:spacing w:after="160" w:line="276" w:lineRule="auto"/>
              <w:jc w:val="both"/>
              <w:rPr>
                <w:rFonts w:ascii="Arial" w:hAnsi="Arial" w:cs="Arial"/>
                <w:sz w:val="22"/>
                <w:szCs w:val="22"/>
              </w:rPr>
            </w:pPr>
            <w:r w:rsidRPr="001D50E3">
              <w:rPr>
                <w:rFonts w:ascii="Arial" w:hAnsi="Arial" w:cs="Arial"/>
                <w:sz w:val="22"/>
                <w:szCs w:val="22"/>
              </w:rPr>
              <w:t>1300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2EC0" w:rsidRPr="001D50E3" w:rsidRDefault="00FF2EC0" w:rsidP="008768C7">
            <w:pPr>
              <w:spacing w:line="276" w:lineRule="auto"/>
              <w:jc w:val="both"/>
              <w:rPr>
                <w:rFonts w:ascii="Arial" w:hAnsi="Arial" w:cs="Arial"/>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2EC0" w:rsidRPr="001D50E3" w:rsidRDefault="00FF2EC0" w:rsidP="008768C7">
            <w:pPr>
              <w:spacing w:line="276" w:lineRule="auto"/>
              <w:jc w:val="both"/>
              <w:rPr>
                <w:rFonts w:ascii="Arial" w:hAnsi="Arial" w:cs="Arial"/>
                <w:sz w:val="22"/>
                <w:szCs w:val="22"/>
              </w:rPr>
            </w:pPr>
          </w:p>
        </w:tc>
      </w:tr>
      <w:tr w:rsidR="00FF2EC0" w:rsidRPr="001D50E3" w:rsidTr="00754C28">
        <w:trPr>
          <w:trHeight w:val="1148"/>
          <w:jc w:val="center"/>
        </w:trPr>
        <w:tc>
          <w:tcPr>
            <w:tcW w:w="1894" w:type="dxa"/>
            <w:tcBorders>
              <w:top w:val="single" w:sz="4" w:space="0" w:color="auto"/>
              <w:left w:val="single" w:sz="4" w:space="0" w:color="auto"/>
              <w:bottom w:val="single" w:sz="4" w:space="0" w:color="auto"/>
              <w:right w:val="single" w:sz="4" w:space="0" w:color="auto"/>
            </w:tcBorders>
            <w:vAlign w:val="center"/>
            <w:hideMark/>
          </w:tcPr>
          <w:p w:rsidR="00FF2EC0" w:rsidRPr="001D50E3" w:rsidRDefault="00FF2EC0" w:rsidP="008768C7">
            <w:pPr>
              <w:spacing w:after="160" w:line="276" w:lineRule="auto"/>
              <w:jc w:val="both"/>
              <w:rPr>
                <w:rFonts w:ascii="Arial" w:hAnsi="Arial" w:cs="Arial"/>
                <w:sz w:val="22"/>
                <w:szCs w:val="22"/>
                <w:lang w:val="sq-AL"/>
              </w:rPr>
            </w:pPr>
            <w:r w:rsidRPr="001D50E3">
              <w:rPr>
                <w:rFonts w:ascii="Arial" w:hAnsi="Arial" w:cs="Arial"/>
                <w:sz w:val="22"/>
                <w:szCs w:val="22"/>
                <w:lang w:val="sq-AL"/>
              </w:rPr>
              <w:t>Publikimet</w:t>
            </w:r>
          </w:p>
        </w:tc>
        <w:tc>
          <w:tcPr>
            <w:tcW w:w="2048" w:type="dxa"/>
            <w:tcBorders>
              <w:top w:val="single" w:sz="4" w:space="0" w:color="auto"/>
              <w:left w:val="single" w:sz="4" w:space="0" w:color="auto"/>
              <w:bottom w:val="single" w:sz="4" w:space="0" w:color="auto"/>
              <w:right w:val="single" w:sz="4" w:space="0" w:color="auto"/>
            </w:tcBorders>
            <w:vAlign w:val="center"/>
            <w:hideMark/>
          </w:tcPr>
          <w:p w:rsidR="00FF2EC0" w:rsidRPr="001D50E3" w:rsidRDefault="00FF2EC0" w:rsidP="008768C7">
            <w:pPr>
              <w:spacing w:after="160" w:line="276" w:lineRule="auto"/>
              <w:jc w:val="both"/>
              <w:rPr>
                <w:rFonts w:ascii="Arial" w:hAnsi="Arial" w:cs="Arial"/>
                <w:sz w:val="22"/>
                <w:szCs w:val="22"/>
              </w:rPr>
            </w:pPr>
            <w:r w:rsidRPr="001D50E3">
              <w:rPr>
                <w:rFonts w:ascii="Arial" w:hAnsi="Arial" w:cs="Arial"/>
                <w:sz w:val="22"/>
                <w:szCs w:val="22"/>
              </w:rPr>
              <w:t>Numri i publikimeve (përcjellja e mediave sociale)</w:t>
            </w:r>
          </w:p>
        </w:tc>
        <w:tc>
          <w:tcPr>
            <w:tcW w:w="1482" w:type="dxa"/>
            <w:tcBorders>
              <w:top w:val="single" w:sz="4" w:space="0" w:color="auto"/>
              <w:left w:val="single" w:sz="4" w:space="0" w:color="auto"/>
              <w:bottom w:val="single" w:sz="4" w:space="0" w:color="auto"/>
              <w:right w:val="single" w:sz="4" w:space="0" w:color="auto"/>
            </w:tcBorders>
            <w:vAlign w:val="center"/>
            <w:hideMark/>
          </w:tcPr>
          <w:p w:rsidR="00FF2EC0" w:rsidRPr="001D50E3" w:rsidRDefault="00FF2EC0" w:rsidP="008768C7">
            <w:pPr>
              <w:spacing w:after="160" w:line="276" w:lineRule="auto"/>
              <w:jc w:val="both"/>
              <w:rPr>
                <w:rFonts w:ascii="Arial" w:hAnsi="Arial" w:cs="Arial"/>
                <w:sz w:val="22"/>
                <w:szCs w:val="22"/>
              </w:rPr>
            </w:pPr>
            <w:r w:rsidRPr="001D50E3">
              <w:rPr>
                <w:rFonts w:ascii="Arial" w:hAnsi="Arial" w:cs="Arial"/>
                <w:sz w:val="22"/>
                <w:szCs w:val="22"/>
              </w:rPr>
              <w:t>350</w:t>
            </w:r>
          </w:p>
        </w:tc>
        <w:tc>
          <w:tcPr>
            <w:tcW w:w="1948" w:type="dxa"/>
            <w:tcBorders>
              <w:top w:val="single" w:sz="4" w:space="0" w:color="auto"/>
              <w:left w:val="single" w:sz="4" w:space="0" w:color="auto"/>
              <w:bottom w:val="single" w:sz="4" w:space="0" w:color="auto"/>
              <w:right w:val="single" w:sz="4" w:space="0" w:color="auto"/>
            </w:tcBorders>
            <w:vAlign w:val="center"/>
            <w:hideMark/>
          </w:tcPr>
          <w:p w:rsidR="00FF2EC0" w:rsidRPr="001D50E3" w:rsidRDefault="00FF2EC0" w:rsidP="008768C7">
            <w:pPr>
              <w:spacing w:after="160" w:line="276" w:lineRule="auto"/>
              <w:jc w:val="both"/>
              <w:rPr>
                <w:rFonts w:ascii="Arial" w:hAnsi="Arial" w:cs="Arial"/>
                <w:sz w:val="22"/>
                <w:szCs w:val="22"/>
              </w:rPr>
            </w:pPr>
            <w:r w:rsidRPr="001D50E3">
              <w:rPr>
                <w:rFonts w:ascii="Arial" w:hAnsi="Arial" w:cs="Arial"/>
                <w:sz w:val="22"/>
                <w:szCs w:val="22"/>
                <w:lang w:val="sq-AL"/>
              </w:rPr>
              <w:t xml:space="preserve">Dobishmëri e pergjithshme e publikimeve për lexuesit </w:t>
            </w:r>
            <w:r w:rsidRPr="001D50E3">
              <w:rPr>
                <w:rFonts w:ascii="Arial" w:hAnsi="Arial" w:cs="Arial"/>
                <w:sz w:val="22"/>
                <w:szCs w:val="22"/>
              </w:rPr>
              <w:t xml:space="preserve"> (anketa)</w:t>
            </w:r>
          </w:p>
        </w:tc>
        <w:tc>
          <w:tcPr>
            <w:tcW w:w="1690" w:type="dxa"/>
            <w:tcBorders>
              <w:top w:val="single" w:sz="4" w:space="0" w:color="auto"/>
              <w:left w:val="single" w:sz="4" w:space="0" w:color="auto"/>
              <w:bottom w:val="single" w:sz="4" w:space="0" w:color="auto"/>
              <w:right w:val="single" w:sz="4" w:space="0" w:color="auto"/>
            </w:tcBorders>
            <w:vAlign w:val="center"/>
            <w:hideMark/>
          </w:tcPr>
          <w:p w:rsidR="00FF2EC0" w:rsidRPr="001D50E3" w:rsidRDefault="00FF2EC0" w:rsidP="008768C7">
            <w:pPr>
              <w:spacing w:after="160" w:line="276" w:lineRule="auto"/>
              <w:jc w:val="both"/>
              <w:rPr>
                <w:rFonts w:ascii="Arial" w:hAnsi="Arial" w:cs="Arial"/>
                <w:sz w:val="22"/>
                <w:szCs w:val="22"/>
              </w:rPr>
            </w:pPr>
            <w:r w:rsidRPr="001D50E3">
              <w:rPr>
                <w:rFonts w:ascii="Arial" w:hAnsi="Arial" w:cs="Arial"/>
                <w:sz w:val="22"/>
                <w:szCs w:val="22"/>
              </w:rPr>
              <w:t>75% rezultat sipas skalatit për vlerësimin e klientëve</w:t>
            </w:r>
          </w:p>
        </w:tc>
      </w:tr>
      <w:tr w:rsidR="00FF2EC0" w:rsidRPr="001D50E3" w:rsidTr="00754C28">
        <w:trPr>
          <w:jc w:val="center"/>
        </w:trPr>
        <w:tc>
          <w:tcPr>
            <w:tcW w:w="1894" w:type="dxa"/>
            <w:tcBorders>
              <w:top w:val="single" w:sz="4" w:space="0" w:color="auto"/>
              <w:left w:val="single" w:sz="4" w:space="0" w:color="auto"/>
              <w:bottom w:val="single" w:sz="4" w:space="0" w:color="auto"/>
              <w:right w:val="single" w:sz="4" w:space="0" w:color="auto"/>
            </w:tcBorders>
            <w:vAlign w:val="center"/>
            <w:hideMark/>
          </w:tcPr>
          <w:p w:rsidR="00FF2EC0" w:rsidRPr="001D50E3" w:rsidRDefault="00FF2EC0" w:rsidP="008768C7">
            <w:pPr>
              <w:spacing w:after="160" w:line="276" w:lineRule="auto"/>
              <w:jc w:val="both"/>
              <w:rPr>
                <w:rFonts w:ascii="Arial" w:hAnsi="Arial" w:cs="Arial"/>
                <w:sz w:val="22"/>
                <w:szCs w:val="22"/>
              </w:rPr>
            </w:pPr>
            <w:r w:rsidRPr="001D50E3">
              <w:rPr>
                <w:rFonts w:ascii="Arial" w:hAnsi="Arial" w:cs="Arial"/>
                <w:sz w:val="22"/>
                <w:szCs w:val="22"/>
              </w:rPr>
              <w:t>Faqja e internetit në program</w:t>
            </w:r>
          </w:p>
        </w:tc>
        <w:tc>
          <w:tcPr>
            <w:tcW w:w="2048" w:type="dxa"/>
            <w:tcBorders>
              <w:top w:val="single" w:sz="4" w:space="0" w:color="auto"/>
              <w:left w:val="single" w:sz="4" w:space="0" w:color="auto"/>
              <w:bottom w:val="single" w:sz="4" w:space="0" w:color="auto"/>
              <w:right w:val="single" w:sz="4" w:space="0" w:color="auto"/>
            </w:tcBorders>
            <w:vAlign w:val="center"/>
            <w:hideMark/>
          </w:tcPr>
          <w:p w:rsidR="00FF2EC0" w:rsidRPr="001D50E3" w:rsidRDefault="00FF2EC0" w:rsidP="008768C7">
            <w:pPr>
              <w:spacing w:after="160" w:line="276" w:lineRule="auto"/>
              <w:jc w:val="both"/>
              <w:rPr>
                <w:rFonts w:ascii="Arial" w:hAnsi="Arial" w:cs="Arial"/>
                <w:sz w:val="22"/>
                <w:szCs w:val="22"/>
              </w:rPr>
            </w:pPr>
            <w:r w:rsidRPr="001D50E3">
              <w:rPr>
                <w:rFonts w:ascii="Arial" w:hAnsi="Arial" w:cs="Arial"/>
                <w:sz w:val="22"/>
                <w:szCs w:val="22"/>
              </w:rPr>
              <w:t>Numri në vizitë</w:t>
            </w:r>
          </w:p>
        </w:tc>
        <w:tc>
          <w:tcPr>
            <w:tcW w:w="1482" w:type="dxa"/>
            <w:tcBorders>
              <w:top w:val="single" w:sz="4" w:space="0" w:color="auto"/>
              <w:left w:val="single" w:sz="4" w:space="0" w:color="auto"/>
              <w:bottom w:val="single" w:sz="4" w:space="0" w:color="auto"/>
              <w:right w:val="single" w:sz="4" w:space="0" w:color="auto"/>
            </w:tcBorders>
            <w:vAlign w:val="center"/>
            <w:hideMark/>
          </w:tcPr>
          <w:p w:rsidR="00FF2EC0" w:rsidRPr="001D50E3" w:rsidRDefault="00FF2EC0" w:rsidP="008768C7">
            <w:pPr>
              <w:spacing w:after="160" w:line="276" w:lineRule="auto"/>
              <w:jc w:val="both"/>
              <w:rPr>
                <w:rFonts w:ascii="Arial" w:hAnsi="Arial" w:cs="Arial"/>
                <w:sz w:val="22"/>
                <w:szCs w:val="22"/>
              </w:rPr>
            </w:pPr>
            <w:r w:rsidRPr="001D50E3">
              <w:rPr>
                <w:rFonts w:ascii="Arial" w:hAnsi="Arial" w:cs="Arial"/>
                <w:sz w:val="22"/>
                <w:szCs w:val="22"/>
              </w:rPr>
              <w:t>70000</w:t>
            </w:r>
          </w:p>
        </w:tc>
        <w:tc>
          <w:tcPr>
            <w:tcW w:w="1948" w:type="dxa"/>
            <w:tcBorders>
              <w:top w:val="single" w:sz="4" w:space="0" w:color="auto"/>
              <w:left w:val="single" w:sz="4" w:space="0" w:color="auto"/>
              <w:bottom w:val="single" w:sz="4" w:space="0" w:color="auto"/>
              <w:right w:val="single" w:sz="4" w:space="0" w:color="auto"/>
            </w:tcBorders>
            <w:vAlign w:val="center"/>
            <w:hideMark/>
          </w:tcPr>
          <w:p w:rsidR="00FF2EC0" w:rsidRPr="001D50E3" w:rsidRDefault="00FF2EC0" w:rsidP="008768C7">
            <w:pPr>
              <w:spacing w:after="160" w:line="276" w:lineRule="auto"/>
              <w:jc w:val="both"/>
              <w:rPr>
                <w:rFonts w:ascii="Arial" w:hAnsi="Arial" w:cs="Arial"/>
                <w:sz w:val="22"/>
                <w:szCs w:val="22"/>
                <w:lang w:val="sq-AL"/>
              </w:rPr>
            </w:pPr>
            <w:r w:rsidRPr="001D50E3">
              <w:rPr>
                <w:rFonts w:ascii="Arial" w:hAnsi="Arial" w:cs="Arial"/>
                <w:sz w:val="22"/>
                <w:szCs w:val="22"/>
                <w:lang w:val="sq-AL"/>
              </w:rPr>
              <w:t xml:space="preserve">Dobishmëri e pergjithshme e publikimeve për lexuesit </w:t>
            </w:r>
            <w:r w:rsidRPr="001D50E3">
              <w:rPr>
                <w:rFonts w:ascii="Arial" w:hAnsi="Arial" w:cs="Arial"/>
                <w:sz w:val="22"/>
                <w:szCs w:val="22"/>
              </w:rPr>
              <w:t xml:space="preserve"> (anketa)</w:t>
            </w:r>
          </w:p>
        </w:tc>
        <w:tc>
          <w:tcPr>
            <w:tcW w:w="1690" w:type="dxa"/>
            <w:tcBorders>
              <w:top w:val="single" w:sz="4" w:space="0" w:color="auto"/>
              <w:left w:val="single" w:sz="4" w:space="0" w:color="auto"/>
              <w:bottom w:val="single" w:sz="4" w:space="0" w:color="auto"/>
              <w:right w:val="single" w:sz="4" w:space="0" w:color="auto"/>
            </w:tcBorders>
            <w:vAlign w:val="center"/>
            <w:hideMark/>
          </w:tcPr>
          <w:p w:rsidR="00FF2EC0" w:rsidRPr="001D50E3" w:rsidRDefault="00FF2EC0" w:rsidP="008768C7">
            <w:pPr>
              <w:spacing w:after="160" w:line="276" w:lineRule="auto"/>
              <w:jc w:val="both"/>
              <w:rPr>
                <w:rFonts w:ascii="Arial" w:hAnsi="Arial" w:cs="Arial"/>
                <w:sz w:val="22"/>
                <w:szCs w:val="22"/>
              </w:rPr>
            </w:pPr>
            <w:r w:rsidRPr="001D50E3">
              <w:rPr>
                <w:rFonts w:ascii="Arial" w:hAnsi="Arial" w:cs="Arial"/>
                <w:sz w:val="22"/>
                <w:szCs w:val="22"/>
              </w:rPr>
              <w:t>75% rezultat sipas skalatit për vlerësimin e klientëve</w:t>
            </w:r>
          </w:p>
        </w:tc>
      </w:tr>
      <w:tr w:rsidR="00FF2EC0" w:rsidRPr="001D50E3" w:rsidTr="00754C28">
        <w:trPr>
          <w:jc w:val="center"/>
        </w:trPr>
        <w:tc>
          <w:tcPr>
            <w:tcW w:w="1894" w:type="dxa"/>
            <w:tcBorders>
              <w:top w:val="single" w:sz="4" w:space="0" w:color="auto"/>
              <w:left w:val="single" w:sz="4" w:space="0" w:color="auto"/>
              <w:bottom w:val="single" w:sz="4" w:space="0" w:color="auto"/>
              <w:right w:val="single" w:sz="4" w:space="0" w:color="auto"/>
            </w:tcBorders>
            <w:vAlign w:val="center"/>
            <w:hideMark/>
          </w:tcPr>
          <w:p w:rsidR="00FF2EC0" w:rsidRPr="001D50E3" w:rsidRDefault="00FF2EC0" w:rsidP="008768C7">
            <w:pPr>
              <w:spacing w:after="160" w:line="276" w:lineRule="auto"/>
              <w:jc w:val="both"/>
              <w:rPr>
                <w:rFonts w:ascii="Arial" w:hAnsi="Arial" w:cs="Arial"/>
                <w:sz w:val="22"/>
                <w:szCs w:val="22"/>
                <w:lang w:val="sq-AL"/>
              </w:rPr>
            </w:pPr>
            <w:r w:rsidRPr="001D50E3">
              <w:rPr>
                <w:rFonts w:ascii="Arial" w:hAnsi="Arial" w:cs="Arial"/>
                <w:sz w:val="22"/>
                <w:szCs w:val="22"/>
              </w:rPr>
              <w:t xml:space="preserve"> Medi</w:t>
            </w:r>
            <w:r w:rsidRPr="001D50E3">
              <w:rPr>
                <w:rFonts w:ascii="Arial" w:hAnsi="Arial" w:cs="Arial"/>
                <w:sz w:val="22"/>
                <w:szCs w:val="22"/>
                <w:lang w:val="sq-AL"/>
              </w:rPr>
              <w:t>umet Sociale</w:t>
            </w:r>
          </w:p>
        </w:tc>
        <w:tc>
          <w:tcPr>
            <w:tcW w:w="2048" w:type="dxa"/>
            <w:tcBorders>
              <w:top w:val="single" w:sz="4" w:space="0" w:color="auto"/>
              <w:left w:val="single" w:sz="4" w:space="0" w:color="auto"/>
              <w:bottom w:val="single" w:sz="4" w:space="0" w:color="auto"/>
              <w:right w:val="single" w:sz="4" w:space="0" w:color="auto"/>
            </w:tcBorders>
            <w:vAlign w:val="center"/>
            <w:hideMark/>
          </w:tcPr>
          <w:p w:rsidR="00FF2EC0" w:rsidRPr="001D50E3" w:rsidRDefault="00FF2EC0" w:rsidP="008768C7">
            <w:pPr>
              <w:spacing w:after="160" w:line="276" w:lineRule="auto"/>
              <w:jc w:val="both"/>
              <w:rPr>
                <w:rFonts w:ascii="Arial" w:hAnsi="Arial" w:cs="Arial"/>
                <w:sz w:val="22"/>
                <w:szCs w:val="22"/>
                <w:lang w:val="sq-AL"/>
              </w:rPr>
            </w:pPr>
            <w:r w:rsidRPr="001D50E3">
              <w:rPr>
                <w:rFonts w:ascii="Arial" w:hAnsi="Arial" w:cs="Arial"/>
                <w:sz w:val="22"/>
                <w:szCs w:val="22"/>
              </w:rPr>
              <w:t xml:space="preserve">Numri i </w:t>
            </w:r>
            <w:r w:rsidRPr="001D50E3">
              <w:rPr>
                <w:rFonts w:ascii="Arial" w:hAnsi="Arial" w:cs="Arial"/>
                <w:sz w:val="22"/>
                <w:szCs w:val="22"/>
                <w:lang w:val="sq-AL"/>
              </w:rPr>
              <w:t>ndjekësve</w:t>
            </w:r>
            <w:r w:rsidRPr="001D50E3">
              <w:rPr>
                <w:rFonts w:ascii="Arial" w:hAnsi="Arial" w:cs="Arial"/>
                <w:sz w:val="22"/>
                <w:szCs w:val="22"/>
              </w:rPr>
              <w:t>/</w:t>
            </w:r>
            <w:r w:rsidRPr="001D50E3">
              <w:rPr>
                <w:rFonts w:ascii="Arial" w:hAnsi="Arial" w:cs="Arial"/>
                <w:sz w:val="22"/>
                <w:szCs w:val="22"/>
                <w:lang w:val="sq-AL"/>
              </w:rPr>
              <w:t>prrapaguesve</w:t>
            </w:r>
          </w:p>
        </w:tc>
        <w:tc>
          <w:tcPr>
            <w:tcW w:w="1482" w:type="dxa"/>
            <w:tcBorders>
              <w:top w:val="single" w:sz="4" w:space="0" w:color="auto"/>
              <w:left w:val="single" w:sz="4" w:space="0" w:color="auto"/>
              <w:bottom w:val="single" w:sz="4" w:space="0" w:color="auto"/>
              <w:right w:val="single" w:sz="4" w:space="0" w:color="auto"/>
            </w:tcBorders>
            <w:vAlign w:val="center"/>
            <w:hideMark/>
          </w:tcPr>
          <w:p w:rsidR="00FF2EC0" w:rsidRPr="001D50E3" w:rsidRDefault="00FF2EC0" w:rsidP="008768C7">
            <w:pPr>
              <w:spacing w:after="160" w:line="276" w:lineRule="auto"/>
              <w:jc w:val="both"/>
              <w:rPr>
                <w:rFonts w:ascii="Arial" w:hAnsi="Arial" w:cs="Arial"/>
                <w:sz w:val="22"/>
                <w:szCs w:val="22"/>
              </w:rPr>
            </w:pPr>
            <w:r w:rsidRPr="001D50E3">
              <w:rPr>
                <w:rFonts w:ascii="Arial" w:hAnsi="Arial" w:cs="Arial"/>
                <w:sz w:val="22"/>
                <w:szCs w:val="22"/>
              </w:rPr>
              <w:t>700</w:t>
            </w:r>
          </w:p>
        </w:tc>
        <w:tc>
          <w:tcPr>
            <w:tcW w:w="1948" w:type="dxa"/>
            <w:tcBorders>
              <w:top w:val="single" w:sz="4" w:space="0" w:color="auto"/>
              <w:left w:val="single" w:sz="4" w:space="0" w:color="auto"/>
              <w:bottom w:val="single" w:sz="4" w:space="0" w:color="auto"/>
              <w:right w:val="single" w:sz="4" w:space="0" w:color="auto"/>
            </w:tcBorders>
            <w:vAlign w:val="center"/>
            <w:hideMark/>
          </w:tcPr>
          <w:p w:rsidR="00FF2EC0" w:rsidRPr="001D50E3" w:rsidRDefault="00FF2EC0" w:rsidP="008768C7">
            <w:pPr>
              <w:spacing w:after="160" w:line="276" w:lineRule="auto"/>
              <w:jc w:val="both"/>
              <w:rPr>
                <w:rFonts w:ascii="Arial" w:hAnsi="Arial" w:cs="Arial"/>
                <w:sz w:val="22"/>
                <w:szCs w:val="22"/>
              </w:rPr>
            </w:pPr>
            <w:r w:rsidRPr="001D50E3">
              <w:rPr>
                <w:rFonts w:ascii="Arial" w:hAnsi="Arial" w:cs="Arial"/>
                <w:sz w:val="22"/>
                <w:szCs w:val="22"/>
              </w:rPr>
              <w:t>Numri i postimeve, i pëlqejeve, i komenteve, i komenteve dhe i komenteve</w:t>
            </w:r>
          </w:p>
        </w:tc>
        <w:tc>
          <w:tcPr>
            <w:tcW w:w="1690" w:type="dxa"/>
            <w:tcBorders>
              <w:top w:val="single" w:sz="4" w:space="0" w:color="auto"/>
              <w:left w:val="single" w:sz="4" w:space="0" w:color="auto"/>
              <w:bottom w:val="single" w:sz="4" w:space="0" w:color="auto"/>
              <w:right w:val="single" w:sz="4" w:space="0" w:color="auto"/>
            </w:tcBorders>
            <w:vAlign w:val="center"/>
            <w:hideMark/>
          </w:tcPr>
          <w:p w:rsidR="00FF2EC0" w:rsidRPr="001D50E3" w:rsidRDefault="00FF2EC0" w:rsidP="008768C7">
            <w:pPr>
              <w:spacing w:after="160" w:line="276" w:lineRule="auto"/>
              <w:jc w:val="both"/>
              <w:rPr>
                <w:rFonts w:ascii="Arial" w:hAnsi="Arial" w:cs="Arial"/>
                <w:sz w:val="22"/>
                <w:szCs w:val="22"/>
              </w:rPr>
            </w:pPr>
            <w:r w:rsidRPr="001D50E3">
              <w:rPr>
                <w:rFonts w:ascii="Arial" w:hAnsi="Arial" w:cs="Arial"/>
                <w:sz w:val="22"/>
                <w:szCs w:val="22"/>
              </w:rPr>
              <w:t>1000</w:t>
            </w:r>
          </w:p>
        </w:tc>
      </w:tr>
    </w:tbl>
    <w:p w:rsidR="00FF2EC0" w:rsidRPr="001D50E3" w:rsidRDefault="00FF2EC0" w:rsidP="008768C7">
      <w:pPr>
        <w:spacing w:line="276" w:lineRule="auto"/>
        <w:jc w:val="both"/>
        <w:rPr>
          <w:rFonts w:ascii="Arial" w:hAnsi="Arial" w:cs="Arial"/>
          <w:b/>
          <w:lang w:val="sq-AL"/>
        </w:rPr>
      </w:pPr>
    </w:p>
    <w:p w:rsidR="00FF2EC0" w:rsidRPr="001D50E3" w:rsidRDefault="00FF2EC0" w:rsidP="008768C7">
      <w:pPr>
        <w:spacing w:line="276" w:lineRule="auto"/>
        <w:jc w:val="both"/>
        <w:rPr>
          <w:rFonts w:ascii="Arial" w:hAnsi="Arial" w:cs="Arial"/>
          <w:b/>
          <w:lang w:val="sq-AL"/>
        </w:rPr>
      </w:pPr>
    </w:p>
    <w:p w:rsidR="00FF2EC0" w:rsidRPr="001D50E3" w:rsidRDefault="00FF2EC0" w:rsidP="008768C7">
      <w:pPr>
        <w:spacing w:line="276" w:lineRule="auto"/>
        <w:jc w:val="both"/>
        <w:rPr>
          <w:rFonts w:ascii="Arial" w:hAnsi="Arial" w:cs="Arial"/>
          <w:b/>
          <w:lang w:val="sq-AL"/>
        </w:rPr>
      </w:pPr>
      <w:r w:rsidRPr="001D50E3">
        <w:rPr>
          <w:rFonts w:ascii="Arial" w:hAnsi="Arial" w:cs="Arial"/>
          <w:b/>
          <w:lang w:val="sq-AL"/>
        </w:rPr>
        <w:t>6Tregim i mbështetjes për projekte të shkallës së vogël, duke përfshirë projekte të vogla brenda fondeve të vogla të projektit</w:t>
      </w:r>
    </w:p>
    <w:p w:rsidR="00FF2EC0" w:rsidRPr="001D50E3" w:rsidRDefault="00FF2EC0" w:rsidP="008768C7">
      <w:pPr>
        <w:spacing w:line="276" w:lineRule="auto"/>
        <w:jc w:val="both"/>
        <w:rPr>
          <w:rFonts w:ascii="Arial" w:hAnsi="Arial" w:cs="Arial"/>
          <w:b/>
          <w:lang w:val="sq-AL"/>
        </w:rPr>
      </w:pPr>
      <w:r w:rsidRPr="001D50E3">
        <w:rPr>
          <w:rFonts w:ascii="Arial" w:hAnsi="Arial" w:cs="Arial"/>
          <w:b/>
          <w:lang w:val="sq-AL"/>
        </w:rPr>
        <w:t>Referenca: pika (i) e nenit 17 (3), neni 24</w:t>
      </w:r>
    </w:p>
    <w:p w:rsidR="00FF2EC0" w:rsidRPr="001D50E3" w:rsidRDefault="00FF2EC0" w:rsidP="008768C7">
      <w:pPr>
        <w:spacing w:line="276" w:lineRule="auto"/>
        <w:jc w:val="both"/>
        <w:rPr>
          <w:rFonts w:ascii="Arial" w:hAnsi="Arial" w:cs="Arial"/>
          <w:b/>
          <w:lang w:val="sq-AL"/>
        </w:rPr>
      </w:pPr>
      <w:r w:rsidRPr="001D50E3">
        <w:rPr>
          <w:rFonts w:ascii="Arial" w:hAnsi="Arial" w:cs="Arial"/>
          <w:b/>
          <w:lang w:val="sq-AL"/>
        </w:rPr>
        <w:t>Fusha e tekstit(  7000)</w:t>
      </w:r>
    </w:p>
    <w:p w:rsidR="00FF2EC0" w:rsidRPr="001D50E3" w:rsidRDefault="00FF2EC0" w:rsidP="008768C7">
      <w:pPr>
        <w:spacing w:line="276" w:lineRule="auto"/>
        <w:jc w:val="both"/>
        <w:rPr>
          <w:rFonts w:ascii="Arial" w:hAnsi="Arial" w:cs="Arial"/>
          <w:b/>
          <w:lang w:val="sq-AL"/>
        </w:rPr>
      </w:pPr>
      <w:r w:rsidRPr="001D50E3">
        <w:rPr>
          <w:rFonts w:ascii="Arial" w:hAnsi="Arial" w:cs="Arial"/>
          <w:b/>
          <w:lang w:val="sq-AL"/>
        </w:rPr>
        <w:t>7. Dispozitat  per impelmentim</w:t>
      </w:r>
    </w:p>
    <w:p w:rsidR="00FF2EC0" w:rsidRPr="001D50E3" w:rsidRDefault="00FF2EC0" w:rsidP="008768C7">
      <w:pPr>
        <w:spacing w:line="276" w:lineRule="auto"/>
        <w:jc w:val="both"/>
        <w:rPr>
          <w:rFonts w:ascii="Arial" w:hAnsi="Arial" w:cs="Arial"/>
          <w:b/>
          <w:lang w:val="sq-AL"/>
        </w:rPr>
      </w:pPr>
      <w:r w:rsidRPr="001D50E3">
        <w:rPr>
          <w:rFonts w:ascii="Arial" w:hAnsi="Arial" w:cs="Arial"/>
          <w:b/>
          <w:lang w:val="sq-AL"/>
        </w:rPr>
        <w:t>7.1. Organet e programit</w:t>
      </w:r>
    </w:p>
    <w:p w:rsidR="00FF2EC0" w:rsidRPr="001D50E3" w:rsidRDefault="00FF2EC0" w:rsidP="008768C7">
      <w:pPr>
        <w:spacing w:line="276" w:lineRule="auto"/>
        <w:jc w:val="both"/>
        <w:rPr>
          <w:rFonts w:ascii="Arial" w:hAnsi="Arial" w:cs="Arial"/>
          <w:b/>
          <w:lang w:val="sq-AL"/>
        </w:rPr>
      </w:pPr>
      <w:r w:rsidRPr="001D50E3">
        <w:rPr>
          <w:rFonts w:ascii="Arial" w:hAnsi="Arial" w:cs="Arial"/>
          <w:b/>
          <w:lang w:val="sq-AL"/>
        </w:rPr>
        <w:t>Referenca: pika (a) e nenit 17 (6)</w:t>
      </w:r>
    </w:p>
    <w:p w:rsidR="00FF2EC0" w:rsidRPr="001D50E3" w:rsidRDefault="00FF2EC0" w:rsidP="008768C7">
      <w:pPr>
        <w:spacing w:line="276" w:lineRule="auto"/>
        <w:jc w:val="both"/>
        <w:rPr>
          <w:rFonts w:ascii="Arial" w:hAnsi="Arial" w:cs="Arial"/>
          <w:b/>
          <w:lang w:val="sq-AL"/>
        </w:rPr>
      </w:pPr>
      <w:r w:rsidRPr="001D50E3">
        <w:rPr>
          <w:rFonts w:ascii="Arial" w:hAnsi="Arial" w:cs="Arial"/>
          <w:b/>
          <w:lang w:val="sq-AL"/>
        </w:rPr>
        <w:t xml:space="preserve">Tablea 10 </w:t>
      </w:r>
    </w:p>
    <w:tbl>
      <w:tblPr>
        <w:tblStyle w:val="TableGrid12"/>
        <w:tblW w:w="0" w:type="auto"/>
        <w:tblLayout w:type="fixed"/>
        <w:tblLook w:val="04A0" w:firstRow="1" w:lastRow="0" w:firstColumn="1" w:lastColumn="0" w:noHBand="0" w:noVBand="1"/>
      </w:tblPr>
      <w:tblGrid>
        <w:gridCol w:w="1615"/>
        <w:gridCol w:w="1980"/>
        <w:gridCol w:w="1890"/>
        <w:gridCol w:w="3865"/>
      </w:tblGrid>
      <w:tr w:rsidR="00FF2EC0" w:rsidRPr="001D50E3" w:rsidTr="00754C28">
        <w:tc>
          <w:tcPr>
            <w:tcW w:w="1615" w:type="dxa"/>
            <w:tcBorders>
              <w:top w:val="single" w:sz="4" w:space="0" w:color="auto"/>
              <w:left w:val="single" w:sz="4" w:space="0" w:color="auto"/>
              <w:bottom w:val="single" w:sz="4" w:space="0" w:color="auto"/>
              <w:right w:val="single" w:sz="4" w:space="0" w:color="auto"/>
            </w:tcBorders>
            <w:hideMark/>
          </w:tcPr>
          <w:p w:rsidR="00FF2EC0" w:rsidRPr="001D50E3" w:rsidRDefault="00FF2EC0" w:rsidP="008768C7">
            <w:pPr>
              <w:spacing w:after="160" w:line="276" w:lineRule="auto"/>
              <w:jc w:val="both"/>
              <w:rPr>
                <w:rFonts w:ascii="Arial" w:eastAsia="Calibri" w:hAnsi="Arial" w:cs="Arial"/>
                <w:b/>
                <w:noProof/>
              </w:rPr>
            </w:pPr>
            <w:r w:rsidRPr="001D50E3">
              <w:rPr>
                <w:rFonts w:ascii="Arial" w:eastAsia="Calibri" w:hAnsi="Arial" w:cs="Arial"/>
                <w:b/>
                <w:noProof/>
              </w:rPr>
              <w:t>Organet e programit</w:t>
            </w:r>
          </w:p>
        </w:tc>
        <w:tc>
          <w:tcPr>
            <w:tcW w:w="1980" w:type="dxa"/>
            <w:tcBorders>
              <w:top w:val="single" w:sz="4" w:space="0" w:color="auto"/>
              <w:left w:val="single" w:sz="4" w:space="0" w:color="auto"/>
              <w:bottom w:val="single" w:sz="4" w:space="0" w:color="auto"/>
              <w:right w:val="single" w:sz="4" w:space="0" w:color="auto"/>
            </w:tcBorders>
            <w:hideMark/>
          </w:tcPr>
          <w:p w:rsidR="00FF2EC0" w:rsidRPr="001D50E3" w:rsidRDefault="00FF2EC0" w:rsidP="008768C7">
            <w:pPr>
              <w:spacing w:after="160" w:line="276" w:lineRule="auto"/>
              <w:jc w:val="both"/>
              <w:rPr>
                <w:rFonts w:ascii="Arial" w:eastAsia="Calibri" w:hAnsi="Arial" w:cs="Arial"/>
                <w:b/>
                <w:noProof/>
                <w:lang w:val="sq-AL"/>
              </w:rPr>
            </w:pPr>
            <w:r w:rsidRPr="001D50E3">
              <w:rPr>
                <w:rFonts w:ascii="Arial" w:eastAsia="Calibri" w:hAnsi="Arial" w:cs="Arial"/>
                <w:b/>
                <w:noProof/>
                <w:lang w:val="sq-AL"/>
              </w:rPr>
              <w:t>Emri i institucionit</w:t>
            </w:r>
          </w:p>
          <w:p w:rsidR="00FF2EC0" w:rsidRPr="001D50E3" w:rsidRDefault="00FF2EC0" w:rsidP="008768C7">
            <w:pPr>
              <w:spacing w:after="160" w:line="276" w:lineRule="auto"/>
              <w:jc w:val="both"/>
              <w:rPr>
                <w:rFonts w:ascii="Arial" w:eastAsia="Calibri" w:hAnsi="Arial" w:cs="Arial"/>
                <w:b/>
                <w:noProof/>
              </w:rPr>
            </w:pPr>
            <w:r w:rsidRPr="001D50E3">
              <w:rPr>
                <w:rFonts w:ascii="Arial" w:eastAsia="Calibri" w:hAnsi="Arial" w:cs="Arial"/>
                <w:noProof/>
              </w:rPr>
              <w:t>[255]</w:t>
            </w:r>
          </w:p>
        </w:tc>
        <w:tc>
          <w:tcPr>
            <w:tcW w:w="1890" w:type="dxa"/>
            <w:tcBorders>
              <w:top w:val="single" w:sz="4" w:space="0" w:color="auto"/>
              <w:left w:val="single" w:sz="4" w:space="0" w:color="auto"/>
              <w:bottom w:val="single" w:sz="4" w:space="0" w:color="auto"/>
              <w:right w:val="single" w:sz="4" w:space="0" w:color="auto"/>
            </w:tcBorders>
            <w:hideMark/>
          </w:tcPr>
          <w:p w:rsidR="00FF2EC0" w:rsidRPr="001D50E3" w:rsidRDefault="00FF2EC0" w:rsidP="008768C7">
            <w:pPr>
              <w:spacing w:after="160" w:line="276" w:lineRule="auto"/>
              <w:jc w:val="both"/>
              <w:rPr>
                <w:rFonts w:ascii="Arial" w:eastAsia="Calibri" w:hAnsi="Arial" w:cs="Arial"/>
                <w:b/>
                <w:noProof/>
              </w:rPr>
            </w:pPr>
            <w:r w:rsidRPr="001D50E3">
              <w:rPr>
                <w:rFonts w:ascii="Arial" w:eastAsia="Calibri" w:hAnsi="Arial" w:cs="Arial"/>
                <w:b/>
                <w:noProof/>
                <w:lang w:val="sq-AL"/>
              </w:rPr>
              <w:t>Personi Kontaktues</w:t>
            </w:r>
            <w:r w:rsidRPr="001D50E3">
              <w:rPr>
                <w:rFonts w:ascii="Arial" w:eastAsia="Calibri" w:hAnsi="Arial" w:cs="Arial"/>
                <w:b/>
                <w:noProof/>
                <w:lang w:val="mk-MK"/>
              </w:rPr>
              <w:t xml:space="preserve"> </w:t>
            </w:r>
            <w:r w:rsidRPr="001D50E3">
              <w:rPr>
                <w:rFonts w:ascii="Arial" w:eastAsia="Calibri" w:hAnsi="Arial" w:cs="Arial"/>
                <w:noProof/>
              </w:rPr>
              <w:t>[200]</w:t>
            </w:r>
          </w:p>
        </w:tc>
        <w:tc>
          <w:tcPr>
            <w:tcW w:w="3865" w:type="dxa"/>
            <w:tcBorders>
              <w:top w:val="single" w:sz="4" w:space="0" w:color="auto"/>
              <w:left w:val="single" w:sz="4" w:space="0" w:color="auto"/>
              <w:bottom w:val="single" w:sz="4" w:space="0" w:color="auto"/>
              <w:right w:val="single" w:sz="4" w:space="0" w:color="auto"/>
            </w:tcBorders>
            <w:hideMark/>
          </w:tcPr>
          <w:p w:rsidR="00FF2EC0" w:rsidRPr="001D50E3" w:rsidRDefault="00FF2EC0" w:rsidP="008768C7">
            <w:pPr>
              <w:spacing w:after="160" w:line="276" w:lineRule="auto"/>
              <w:jc w:val="both"/>
              <w:rPr>
                <w:rFonts w:ascii="Arial" w:eastAsia="Calibri" w:hAnsi="Arial" w:cs="Arial"/>
                <w:b/>
                <w:noProof/>
              </w:rPr>
            </w:pPr>
            <w:r w:rsidRPr="001D50E3">
              <w:rPr>
                <w:rFonts w:ascii="Arial" w:eastAsia="Calibri" w:hAnsi="Arial" w:cs="Arial"/>
                <w:b/>
                <w:noProof/>
              </w:rPr>
              <w:t xml:space="preserve">E-mail </w:t>
            </w:r>
            <w:r w:rsidRPr="001D50E3">
              <w:rPr>
                <w:rFonts w:ascii="Arial" w:eastAsia="Calibri" w:hAnsi="Arial" w:cs="Arial"/>
                <w:noProof/>
              </w:rPr>
              <w:t>[200]</w:t>
            </w:r>
          </w:p>
        </w:tc>
      </w:tr>
      <w:tr w:rsidR="00FF2EC0" w:rsidRPr="001D50E3" w:rsidTr="00754C28">
        <w:tc>
          <w:tcPr>
            <w:tcW w:w="1615" w:type="dxa"/>
            <w:tcBorders>
              <w:top w:val="single" w:sz="4" w:space="0" w:color="auto"/>
              <w:left w:val="single" w:sz="4" w:space="0" w:color="auto"/>
              <w:bottom w:val="single" w:sz="4" w:space="0" w:color="auto"/>
              <w:right w:val="single" w:sz="4" w:space="0" w:color="auto"/>
            </w:tcBorders>
            <w:hideMark/>
          </w:tcPr>
          <w:p w:rsidR="00FF2EC0" w:rsidRPr="001D50E3" w:rsidRDefault="00FF2EC0" w:rsidP="008768C7">
            <w:pPr>
              <w:spacing w:after="160" w:line="276" w:lineRule="auto"/>
              <w:jc w:val="both"/>
              <w:rPr>
                <w:rFonts w:ascii="Arial" w:eastAsia="Calibri" w:hAnsi="Arial" w:cs="Arial"/>
                <w:noProof/>
                <w:lang w:val="mk-MK"/>
              </w:rPr>
            </w:pPr>
            <w:r w:rsidRPr="001D50E3">
              <w:rPr>
                <w:rFonts w:ascii="Arial" w:eastAsia="Calibri" w:hAnsi="Arial" w:cs="Arial"/>
                <w:noProof/>
                <w:lang w:val="mk-MK"/>
              </w:rPr>
              <w:t>Organi drejtues</w:t>
            </w:r>
          </w:p>
        </w:tc>
        <w:tc>
          <w:tcPr>
            <w:tcW w:w="1980" w:type="dxa"/>
            <w:tcBorders>
              <w:top w:val="single" w:sz="4" w:space="0" w:color="auto"/>
              <w:left w:val="single" w:sz="4" w:space="0" w:color="auto"/>
              <w:bottom w:val="single" w:sz="4" w:space="0" w:color="auto"/>
              <w:right w:val="single" w:sz="4" w:space="0" w:color="auto"/>
            </w:tcBorders>
            <w:hideMark/>
          </w:tcPr>
          <w:p w:rsidR="00FF2EC0" w:rsidRPr="001D50E3" w:rsidRDefault="00FF2EC0" w:rsidP="008768C7">
            <w:pPr>
              <w:spacing w:after="160" w:line="276" w:lineRule="auto"/>
              <w:jc w:val="both"/>
              <w:rPr>
                <w:rFonts w:ascii="Arial" w:eastAsia="Calibri" w:hAnsi="Arial" w:cs="Arial"/>
                <w:noProof/>
                <w:lang w:val="mk-MK"/>
              </w:rPr>
            </w:pPr>
            <w:r w:rsidRPr="001D50E3">
              <w:rPr>
                <w:rFonts w:ascii="Arial" w:eastAsia="Calibri" w:hAnsi="Arial" w:cs="Arial"/>
                <w:noProof/>
                <w:lang w:val="mk-MK"/>
              </w:rPr>
              <w:t xml:space="preserve">Drejtoria për Menaxhimin e Bashkëpunimit Territorial pranë Ministrisë së Zhvillimit Rajonal dhe Punëve </w:t>
            </w:r>
            <w:r w:rsidRPr="001D50E3">
              <w:rPr>
                <w:rFonts w:ascii="Arial" w:eastAsia="Calibri" w:hAnsi="Arial" w:cs="Arial"/>
                <w:noProof/>
                <w:lang w:val="mk-MK"/>
              </w:rPr>
              <w:lastRenderedPageBreak/>
              <w:t>Publike</w:t>
            </w:r>
          </w:p>
        </w:tc>
        <w:tc>
          <w:tcPr>
            <w:tcW w:w="1890" w:type="dxa"/>
            <w:tcBorders>
              <w:top w:val="single" w:sz="4" w:space="0" w:color="auto"/>
              <w:left w:val="single" w:sz="4" w:space="0" w:color="auto"/>
              <w:bottom w:val="single" w:sz="4" w:space="0" w:color="auto"/>
              <w:right w:val="single" w:sz="4" w:space="0" w:color="auto"/>
            </w:tcBorders>
          </w:tcPr>
          <w:p w:rsidR="00FF2EC0" w:rsidRPr="001D50E3" w:rsidRDefault="00FF2EC0" w:rsidP="008768C7">
            <w:pPr>
              <w:spacing w:line="276" w:lineRule="auto"/>
              <w:jc w:val="both"/>
              <w:rPr>
                <w:rFonts w:ascii="Arial" w:eastAsia="Calibri" w:hAnsi="Arial" w:cs="Arial"/>
                <w:noProof/>
                <w:lang w:val="en-US"/>
              </w:rPr>
            </w:pPr>
            <w:r w:rsidRPr="001D50E3">
              <w:rPr>
                <w:rFonts w:ascii="Arial" w:eastAsia="Calibri" w:hAnsi="Arial" w:cs="Arial"/>
                <w:noProof/>
                <w:lang w:val="en-US"/>
              </w:rPr>
              <w:lastRenderedPageBreak/>
              <w:t>Nina Stoimenova</w:t>
            </w:r>
          </w:p>
          <w:p w:rsidR="00FF2EC0" w:rsidRPr="001D50E3" w:rsidRDefault="00FF2EC0" w:rsidP="008768C7">
            <w:pPr>
              <w:spacing w:line="276" w:lineRule="auto"/>
              <w:jc w:val="both"/>
              <w:rPr>
                <w:rFonts w:ascii="Arial" w:eastAsia="Calibri" w:hAnsi="Arial" w:cs="Arial"/>
                <w:noProof/>
                <w:lang w:val="en-US"/>
              </w:rPr>
            </w:pPr>
            <w:r w:rsidRPr="001D50E3">
              <w:rPr>
                <w:rFonts w:ascii="Arial" w:eastAsia="Calibri" w:hAnsi="Arial" w:cs="Arial"/>
                <w:noProof/>
                <w:lang w:val="en-US"/>
              </w:rPr>
              <w:t>Zëvendësministri</w:t>
            </w:r>
          </w:p>
          <w:p w:rsidR="00FF2EC0" w:rsidRPr="001D50E3" w:rsidRDefault="00FF2EC0" w:rsidP="008768C7">
            <w:pPr>
              <w:spacing w:line="276" w:lineRule="auto"/>
              <w:jc w:val="both"/>
              <w:rPr>
                <w:rFonts w:ascii="Arial" w:eastAsia="Calibri" w:hAnsi="Arial" w:cs="Arial"/>
                <w:noProof/>
                <w:lang w:val="en-US"/>
              </w:rPr>
            </w:pPr>
            <w:r w:rsidRPr="001D50E3">
              <w:rPr>
                <w:rFonts w:ascii="Arial" w:eastAsia="Calibri" w:hAnsi="Arial" w:cs="Arial"/>
                <w:noProof/>
                <w:lang w:val="en-US"/>
              </w:rPr>
              <w:t>Shefi i Organit Drejtues</w:t>
            </w:r>
          </w:p>
        </w:tc>
        <w:tc>
          <w:tcPr>
            <w:tcW w:w="3865" w:type="dxa"/>
            <w:tcBorders>
              <w:top w:val="single" w:sz="4" w:space="0" w:color="auto"/>
              <w:left w:val="single" w:sz="4" w:space="0" w:color="auto"/>
              <w:bottom w:val="single" w:sz="4" w:space="0" w:color="auto"/>
              <w:right w:val="single" w:sz="4" w:space="0" w:color="auto"/>
            </w:tcBorders>
            <w:hideMark/>
          </w:tcPr>
          <w:p w:rsidR="00FF2EC0" w:rsidRPr="001D50E3" w:rsidRDefault="00FF2EC0" w:rsidP="008768C7">
            <w:pPr>
              <w:spacing w:after="160" w:line="276" w:lineRule="auto"/>
              <w:jc w:val="both"/>
              <w:rPr>
                <w:rFonts w:ascii="Arial" w:eastAsia="Calibri" w:hAnsi="Arial" w:cs="Arial"/>
                <w:noProof/>
              </w:rPr>
            </w:pPr>
            <w:r w:rsidRPr="001D50E3">
              <w:rPr>
                <w:rFonts w:ascii="Arial" w:eastAsia="Calibri" w:hAnsi="Arial" w:cs="Arial"/>
                <w:noProof/>
              </w:rPr>
              <w:t>nina.stoimenova@mrrb.government.bg</w:t>
            </w:r>
          </w:p>
        </w:tc>
      </w:tr>
      <w:tr w:rsidR="00FF2EC0" w:rsidRPr="001D50E3" w:rsidTr="00754C28">
        <w:tc>
          <w:tcPr>
            <w:tcW w:w="1615" w:type="dxa"/>
            <w:tcBorders>
              <w:top w:val="single" w:sz="4" w:space="0" w:color="auto"/>
              <w:left w:val="single" w:sz="4" w:space="0" w:color="auto"/>
              <w:bottom w:val="single" w:sz="4" w:space="0" w:color="auto"/>
              <w:right w:val="single" w:sz="4" w:space="0" w:color="auto"/>
            </w:tcBorders>
            <w:hideMark/>
          </w:tcPr>
          <w:p w:rsidR="00FF2EC0" w:rsidRPr="001D50E3" w:rsidRDefault="00FF2EC0" w:rsidP="008768C7">
            <w:pPr>
              <w:spacing w:after="160" w:line="276" w:lineRule="auto"/>
              <w:jc w:val="both"/>
              <w:rPr>
                <w:rFonts w:ascii="Arial" w:eastAsia="Calibri" w:hAnsi="Arial" w:cs="Arial"/>
                <w:noProof/>
                <w:lang w:val="mk-MK"/>
              </w:rPr>
            </w:pPr>
            <w:r w:rsidRPr="001D50E3">
              <w:rPr>
                <w:rFonts w:ascii="Arial" w:eastAsia="Calibri" w:hAnsi="Arial" w:cs="Arial"/>
                <w:noProof/>
                <w:lang w:val="sq-AL"/>
              </w:rPr>
              <w:t xml:space="preserve">Organi </w:t>
            </w:r>
            <w:r w:rsidRPr="001D50E3">
              <w:rPr>
                <w:rFonts w:ascii="Arial" w:eastAsia="Calibri" w:hAnsi="Arial" w:cs="Arial"/>
                <w:noProof/>
                <w:lang w:val="mk-MK"/>
              </w:rPr>
              <w:t>kombëtar (për programet me vendet e treta pjesëmarrëse ose vendet partnere, nëse është e përshtatshme)</w:t>
            </w:r>
          </w:p>
        </w:tc>
        <w:tc>
          <w:tcPr>
            <w:tcW w:w="1980" w:type="dxa"/>
            <w:tcBorders>
              <w:top w:val="single" w:sz="4" w:space="0" w:color="auto"/>
              <w:left w:val="single" w:sz="4" w:space="0" w:color="auto"/>
              <w:bottom w:val="single" w:sz="4" w:space="0" w:color="auto"/>
              <w:right w:val="single" w:sz="4" w:space="0" w:color="auto"/>
            </w:tcBorders>
          </w:tcPr>
          <w:p w:rsidR="00FF2EC0" w:rsidRPr="001D50E3" w:rsidRDefault="00FF2EC0" w:rsidP="008768C7">
            <w:pPr>
              <w:spacing w:line="276" w:lineRule="auto"/>
              <w:jc w:val="both"/>
              <w:rPr>
                <w:rFonts w:ascii="Arial" w:eastAsia="Calibri" w:hAnsi="Arial" w:cs="Arial"/>
                <w:noProof/>
                <w:lang w:val="bg-BG"/>
              </w:rPr>
            </w:pPr>
            <w:r w:rsidRPr="001D50E3">
              <w:rPr>
                <w:rFonts w:ascii="Arial" w:eastAsia="Calibri" w:hAnsi="Arial" w:cs="Arial"/>
                <w:noProof/>
                <w:lang w:val="bg-BG"/>
              </w:rPr>
              <w:t>Ministria e Vetëqeverisjes Lokale e Republikës së Maqedonisë së Veriut</w:t>
            </w:r>
          </w:p>
        </w:tc>
        <w:tc>
          <w:tcPr>
            <w:tcW w:w="1890" w:type="dxa"/>
            <w:tcBorders>
              <w:top w:val="single" w:sz="4" w:space="0" w:color="auto"/>
              <w:left w:val="single" w:sz="4" w:space="0" w:color="auto"/>
              <w:bottom w:val="single" w:sz="4" w:space="0" w:color="auto"/>
              <w:right w:val="single" w:sz="4" w:space="0" w:color="auto"/>
            </w:tcBorders>
            <w:hideMark/>
          </w:tcPr>
          <w:p w:rsidR="00FF2EC0" w:rsidRPr="001D50E3" w:rsidRDefault="00FF2EC0" w:rsidP="008768C7">
            <w:pPr>
              <w:spacing w:after="160" w:line="276" w:lineRule="auto"/>
              <w:jc w:val="both"/>
              <w:rPr>
                <w:rFonts w:ascii="Arial" w:eastAsia="Calibri" w:hAnsi="Arial" w:cs="Arial"/>
                <w:noProof/>
                <w:lang w:val="mk-MK"/>
              </w:rPr>
            </w:pPr>
            <w:r w:rsidRPr="001D50E3">
              <w:rPr>
                <w:rFonts w:ascii="Arial" w:eastAsia="Calibri" w:hAnsi="Arial" w:cs="Arial"/>
                <w:noProof/>
                <w:lang w:val="mk-MK"/>
              </w:rPr>
              <w:t xml:space="preserve"> Goran Milevski</w:t>
            </w:r>
          </w:p>
          <w:p w:rsidR="00FF2EC0" w:rsidRPr="001D50E3" w:rsidRDefault="00FF2EC0" w:rsidP="008768C7">
            <w:pPr>
              <w:spacing w:after="160" w:line="276" w:lineRule="auto"/>
              <w:jc w:val="both"/>
              <w:rPr>
                <w:rFonts w:ascii="Arial" w:eastAsia="Calibri" w:hAnsi="Arial" w:cs="Arial"/>
                <w:noProof/>
              </w:rPr>
            </w:pPr>
            <w:r w:rsidRPr="001D50E3">
              <w:rPr>
                <w:rFonts w:ascii="Arial" w:eastAsia="Calibri" w:hAnsi="Arial" w:cs="Arial"/>
                <w:noProof/>
                <w:lang w:val="mk-MK"/>
              </w:rPr>
              <w:t>Ministri i Vetëqeverisjes Lokale të Republikës së Maqedonisë së Veriut</w:t>
            </w:r>
          </w:p>
        </w:tc>
        <w:tc>
          <w:tcPr>
            <w:tcW w:w="3865" w:type="dxa"/>
            <w:tcBorders>
              <w:top w:val="single" w:sz="4" w:space="0" w:color="auto"/>
              <w:left w:val="single" w:sz="4" w:space="0" w:color="auto"/>
              <w:bottom w:val="single" w:sz="4" w:space="0" w:color="auto"/>
              <w:right w:val="single" w:sz="4" w:space="0" w:color="auto"/>
            </w:tcBorders>
            <w:hideMark/>
          </w:tcPr>
          <w:p w:rsidR="00FF2EC0" w:rsidRPr="001D50E3" w:rsidRDefault="00FF2EC0" w:rsidP="008768C7">
            <w:pPr>
              <w:spacing w:line="276" w:lineRule="auto"/>
              <w:jc w:val="both"/>
              <w:rPr>
                <w:rFonts w:ascii="Arial" w:eastAsia="Calibri" w:hAnsi="Arial" w:cs="Arial"/>
                <w:noProof/>
              </w:rPr>
            </w:pPr>
            <w:r w:rsidRPr="001D50E3">
              <w:rPr>
                <w:rFonts w:ascii="Arial" w:eastAsia="Calibri" w:hAnsi="Arial" w:cs="Arial"/>
                <w:noProof/>
              </w:rPr>
              <w:t xml:space="preserve">info@mls.gov.mk  </w:t>
            </w:r>
          </w:p>
          <w:p w:rsidR="00FF2EC0" w:rsidRPr="001D50E3" w:rsidRDefault="00FF2EC0" w:rsidP="008768C7">
            <w:pPr>
              <w:spacing w:after="160" w:line="276" w:lineRule="auto"/>
              <w:jc w:val="both"/>
              <w:rPr>
                <w:rFonts w:ascii="Arial" w:eastAsia="Calibri" w:hAnsi="Arial" w:cs="Arial"/>
                <w:noProof/>
              </w:rPr>
            </w:pPr>
            <w:r w:rsidRPr="001D50E3">
              <w:rPr>
                <w:rFonts w:ascii="Arial" w:eastAsia="Calibri" w:hAnsi="Arial" w:cs="Arial"/>
                <w:noProof/>
              </w:rPr>
              <w:t>milevski.goran@gmail.com</w:t>
            </w:r>
          </w:p>
        </w:tc>
      </w:tr>
      <w:tr w:rsidR="00FF2EC0" w:rsidRPr="001D50E3" w:rsidTr="00754C28">
        <w:tc>
          <w:tcPr>
            <w:tcW w:w="1615" w:type="dxa"/>
            <w:tcBorders>
              <w:top w:val="single" w:sz="4" w:space="0" w:color="auto"/>
              <w:left w:val="single" w:sz="4" w:space="0" w:color="auto"/>
              <w:bottom w:val="single" w:sz="4" w:space="0" w:color="auto"/>
              <w:right w:val="single" w:sz="4" w:space="0" w:color="auto"/>
            </w:tcBorders>
            <w:hideMark/>
          </w:tcPr>
          <w:p w:rsidR="00FF2EC0" w:rsidRPr="001D50E3" w:rsidRDefault="00FF2EC0" w:rsidP="008768C7">
            <w:pPr>
              <w:spacing w:after="160" w:line="276" w:lineRule="auto"/>
              <w:jc w:val="both"/>
              <w:rPr>
                <w:rFonts w:ascii="Arial" w:eastAsia="Calibri" w:hAnsi="Arial" w:cs="Arial"/>
                <w:noProof/>
                <w:lang w:val="mk-MK"/>
              </w:rPr>
            </w:pPr>
            <w:r w:rsidRPr="001D50E3">
              <w:rPr>
                <w:rFonts w:ascii="Arial" w:eastAsia="Calibri" w:hAnsi="Arial" w:cs="Arial"/>
                <w:noProof/>
                <w:lang w:val="mk-MK"/>
              </w:rPr>
              <w:t>Organi i auditimit</w:t>
            </w:r>
          </w:p>
        </w:tc>
        <w:tc>
          <w:tcPr>
            <w:tcW w:w="1980" w:type="dxa"/>
            <w:tcBorders>
              <w:top w:val="single" w:sz="4" w:space="0" w:color="auto"/>
              <w:left w:val="single" w:sz="4" w:space="0" w:color="auto"/>
              <w:bottom w:val="single" w:sz="4" w:space="0" w:color="auto"/>
              <w:right w:val="single" w:sz="4" w:space="0" w:color="auto"/>
            </w:tcBorders>
            <w:hideMark/>
          </w:tcPr>
          <w:p w:rsidR="00FF2EC0" w:rsidRPr="001D50E3" w:rsidRDefault="00FF2EC0" w:rsidP="008768C7">
            <w:pPr>
              <w:spacing w:after="160" w:line="276" w:lineRule="auto"/>
              <w:jc w:val="both"/>
              <w:rPr>
                <w:rFonts w:ascii="Arial" w:eastAsia="Calibri" w:hAnsi="Arial" w:cs="Arial"/>
                <w:noProof/>
                <w:lang w:val="sq-AL"/>
              </w:rPr>
            </w:pPr>
            <w:r w:rsidRPr="001D50E3">
              <w:rPr>
                <w:rFonts w:ascii="Arial" w:eastAsia="Calibri" w:hAnsi="Arial" w:cs="Arial"/>
                <w:noProof/>
                <w:lang w:val="sq-AL"/>
              </w:rPr>
              <w:t>Agjenci ekzekutive</w:t>
            </w:r>
          </w:p>
          <w:p w:rsidR="00FF2EC0" w:rsidRPr="001D50E3" w:rsidRDefault="00FF2EC0" w:rsidP="008768C7">
            <w:pPr>
              <w:spacing w:after="160" w:line="276" w:lineRule="auto"/>
              <w:jc w:val="both"/>
              <w:rPr>
                <w:rFonts w:ascii="Arial" w:eastAsia="Calibri" w:hAnsi="Arial" w:cs="Arial"/>
                <w:noProof/>
                <w:lang w:val="sq-AL"/>
              </w:rPr>
            </w:pPr>
            <w:r w:rsidRPr="001D50E3">
              <w:rPr>
                <w:rFonts w:ascii="Arial" w:eastAsia="Calibri" w:hAnsi="Arial" w:cs="Arial"/>
                <w:noProof/>
                <w:lang w:val="sq-AL"/>
              </w:rPr>
              <w:t>Auditimi i fondeve të Bashkimit Evropian, Ministria e Finacave</w:t>
            </w:r>
          </w:p>
        </w:tc>
        <w:tc>
          <w:tcPr>
            <w:tcW w:w="1890" w:type="dxa"/>
            <w:tcBorders>
              <w:top w:val="single" w:sz="4" w:space="0" w:color="auto"/>
              <w:left w:val="single" w:sz="4" w:space="0" w:color="auto"/>
              <w:bottom w:val="single" w:sz="4" w:space="0" w:color="auto"/>
              <w:right w:val="single" w:sz="4" w:space="0" w:color="auto"/>
            </w:tcBorders>
            <w:hideMark/>
          </w:tcPr>
          <w:p w:rsidR="00FF2EC0" w:rsidRPr="001D50E3" w:rsidRDefault="00FF2EC0" w:rsidP="008768C7">
            <w:pPr>
              <w:spacing w:after="160" w:line="276" w:lineRule="auto"/>
              <w:jc w:val="both"/>
              <w:rPr>
                <w:rFonts w:ascii="Arial" w:eastAsia="Calibri" w:hAnsi="Arial" w:cs="Arial"/>
                <w:noProof/>
                <w:lang w:val="sq-AL"/>
              </w:rPr>
            </w:pPr>
            <w:r w:rsidRPr="001D50E3">
              <w:rPr>
                <w:rFonts w:ascii="Arial" w:eastAsia="Calibri" w:hAnsi="Arial" w:cs="Arial"/>
                <w:noProof/>
                <w:lang w:val="sq-AL"/>
              </w:rPr>
              <w:t>Lyudmila Rangelova, Profesioniste e Autorizuar e Auditimit të Qeverisë - CGAP</w:t>
            </w:r>
          </w:p>
          <w:p w:rsidR="00FF2EC0" w:rsidRPr="001D50E3" w:rsidRDefault="00FF2EC0" w:rsidP="008768C7">
            <w:pPr>
              <w:spacing w:after="160" w:line="276" w:lineRule="auto"/>
              <w:jc w:val="both"/>
              <w:rPr>
                <w:rFonts w:ascii="Arial" w:eastAsia="Calibri" w:hAnsi="Arial" w:cs="Arial"/>
                <w:noProof/>
                <w:lang w:val="sq-AL"/>
              </w:rPr>
            </w:pPr>
            <w:r w:rsidRPr="001D50E3">
              <w:rPr>
                <w:rFonts w:ascii="Arial" w:eastAsia="Calibri" w:hAnsi="Arial" w:cs="Arial"/>
                <w:noProof/>
                <w:lang w:val="sq-AL"/>
              </w:rPr>
              <w:t>drejtor ekzekutiv</w:t>
            </w:r>
          </w:p>
        </w:tc>
        <w:tc>
          <w:tcPr>
            <w:tcW w:w="3865" w:type="dxa"/>
            <w:tcBorders>
              <w:top w:val="single" w:sz="4" w:space="0" w:color="auto"/>
              <w:left w:val="single" w:sz="4" w:space="0" w:color="auto"/>
              <w:bottom w:val="single" w:sz="4" w:space="0" w:color="auto"/>
              <w:right w:val="single" w:sz="4" w:space="0" w:color="auto"/>
            </w:tcBorders>
            <w:hideMark/>
          </w:tcPr>
          <w:p w:rsidR="00FF2EC0" w:rsidRPr="001D50E3" w:rsidRDefault="00FF2EC0" w:rsidP="008768C7">
            <w:pPr>
              <w:spacing w:after="160" w:line="276" w:lineRule="auto"/>
              <w:jc w:val="both"/>
              <w:rPr>
                <w:rFonts w:ascii="Arial" w:eastAsia="Calibri" w:hAnsi="Arial" w:cs="Arial"/>
                <w:noProof/>
              </w:rPr>
            </w:pPr>
            <w:r w:rsidRPr="001D50E3">
              <w:rPr>
                <w:rFonts w:ascii="Arial" w:eastAsia="Calibri" w:hAnsi="Arial" w:cs="Arial"/>
                <w:noProof/>
              </w:rPr>
              <w:t>aeuf@minfin.bg</w:t>
            </w:r>
          </w:p>
        </w:tc>
      </w:tr>
      <w:tr w:rsidR="00FF2EC0" w:rsidRPr="001D50E3" w:rsidTr="00754C28">
        <w:tc>
          <w:tcPr>
            <w:tcW w:w="1615" w:type="dxa"/>
            <w:tcBorders>
              <w:top w:val="single" w:sz="4" w:space="0" w:color="auto"/>
              <w:left w:val="single" w:sz="4" w:space="0" w:color="auto"/>
              <w:bottom w:val="single" w:sz="4" w:space="0" w:color="auto"/>
              <w:right w:val="single" w:sz="4" w:space="0" w:color="auto"/>
            </w:tcBorders>
            <w:hideMark/>
          </w:tcPr>
          <w:p w:rsidR="00FF2EC0" w:rsidRPr="001D50E3" w:rsidRDefault="00FF2EC0" w:rsidP="008768C7">
            <w:pPr>
              <w:spacing w:after="160" w:line="276" w:lineRule="auto"/>
              <w:jc w:val="both"/>
              <w:rPr>
                <w:rFonts w:ascii="Arial" w:eastAsia="Calibri" w:hAnsi="Arial" w:cs="Arial"/>
                <w:noProof/>
                <w:lang w:val="sq-AL"/>
              </w:rPr>
            </w:pPr>
            <w:r w:rsidRPr="001D50E3">
              <w:rPr>
                <w:rFonts w:ascii="Arial" w:eastAsia="Calibri" w:hAnsi="Arial" w:cs="Arial"/>
                <w:noProof/>
                <w:lang w:val="sq-AL"/>
              </w:rPr>
              <w:t>Një grup përfaqësuesish të auditorëve</w:t>
            </w:r>
          </w:p>
        </w:tc>
        <w:tc>
          <w:tcPr>
            <w:tcW w:w="1980" w:type="dxa"/>
            <w:tcBorders>
              <w:top w:val="single" w:sz="4" w:space="0" w:color="auto"/>
              <w:left w:val="single" w:sz="4" w:space="0" w:color="auto"/>
              <w:bottom w:val="single" w:sz="4" w:space="0" w:color="auto"/>
              <w:right w:val="single" w:sz="4" w:space="0" w:color="auto"/>
            </w:tcBorders>
            <w:hideMark/>
          </w:tcPr>
          <w:p w:rsidR="00FF2EC0" w:rsidRPr="001D50E3" w:rsidRDefault="00FF2EC0" w:rsidP="008768C7">
            <w:pPr>
              <w:spacing w:after="160" w:line="276" w:lineRule="auto"/>
              <w:jc w:val="both"/>
              <w:rPr>
                <w:rFonts w:ascii="Arial" w:eastAsia="Calibri" w:hAnsi="Arial" w:cs="Arial"/>
                <w:noProof/>
                <w:lang w:val="mk-MK"/>
              </w:rPr>
            </w:pPr>
            <w:r w:rsidRPr="001D50E3">
              <w:rPr>
                <w:rFonts w:ascii="Arial" w:eastAsia="Calibri" w:hAnsi="Arial" w:cs="Arial"/>
                <w:noProof/>
                <w:lang w:val="mk-MK"/>
              </w:rPr>
              <w:t>Organi i auditimit për auditimin e instrumentit për asistencë para anëtarësimit, Republika e Maqedonisë së Veriut</w:t>
            </w:r>
          </w:p>
        </w:tc>
        <w:tc>
          <w:tcPr>
            <w:tcW w:w="1890" w:type="dxa"/>
            <w:tcBorders>
              <w:top w:val="single" w:sz="4" w:space="0" w:color="auto"/>
              <w:left w:val="single" w:sz="4" w:space="0" w:color="auto"/>
              <w:bottom w:val="single" w:sz="4" w:space="0" w:color="auto"/>
              <w:right w:val="single" w:sz="4" w:space="0" w:color="auto"/>
            </w:tcBorders>
            <w:hideMark/>
          </w:tcPr>
          <w:p w:rsidR="00FF2EC0" w:rsidRPr="001D50E3" w:rsidRDefault="00FF2EC0" w:rsidP="008768C7">
            <w:pPr>
              <w:spacing w:after="160" w:line="276" w:lineRule="auto"/>
              <w:jc w:val="both"/>
              <w:rPr>
                <w:rFonts w:ascii="Arial" w:eastAsia="Calibri" w:hAnsi="Arial" w:cs="Arial"/>
                <w:noProof/>
                <w:lang w:val="mk-MK"/>
              </w:rPr>
            </w:pPr>
            <w:r w:rsidRPr="001D50E3">
              <w:rPr>
                <w:rFonts w:ascii="Arial" w:eastAsia="Calibri" w:hAnsi="Arial" w:cs="Arial"/>
                <w:noProof/>
                <w:lang w:val="mk-MK"/>
              </w:rPr>
              <w:t>Adem Curi, Auditor i Çertifikuar Publik (CSA), Hetues i Çertifikuar i Mashtrimit (CFE), Kontabilist i Certifikuar Publik (CA)</w:t>
            </w:r>
          </w:p>
          <w:p w:rsidR="00FF2EC0" w:rsidRPr="001D50E3" w:rsidRDefault="00FF2EC0" w:rsidP="008768C7">
            <w:pPr>
              <w:spacing w:after="160" w:line="276" w:lineRule="auto"/>
              <w:jc w:val="both"/>
              <w:rPr>
                <w:rFonts w:ascii="Arial" w:eastAsia="Calibri" w:hAnsi="Arial" w:cs="Arial"/>
                <w:noProof/>
                <w:lang w:val="mk-MK"/>
              </w:rPr>
            </w:pPr>
            <w:r w:rsidRPr="001D50E3">
              <w:rPr>
                <w:rFonts w:ascii="Arial" w:eastAsia="Calibri" w:hAnsi="Arial" w:cs="Arial"/>
                <w:noProof/>
                <w:lang w:val="mk-MK"/>
              </w:rPr>
              <w:t>IPA Auditori i Përgjithshëm i Autoritetit të Auditimit</w:t>
            </w:r>
          </w:p>
        </w:tc>
        <w:tc>
          <w:tcPr>
            <w:tcW w:w="3865" w:type="dxa"/>
            <w:tcBorders>
              <w:top w:val="single" w:sz="4" w:space="0" w:color="auto"/>
              <w:left w:val="single" w:sz="4" w:space="0" w:color="auto"/>
              <w:bottom w:val="single" w:sz="4" w:space="0" w:color="auto"/>
              <w:right w:val="single" w:sz="4" w:space="0" w:color="auto"/>
            </w:tcBorders>
            <w:hideMark/>
          </w:tcPr>
          <w:p w:rsidR="00FF2EC0" w:rsidRPr="001D50E3" w:rsidRDefault="00FF2EC0" w:rsidP="008768C7">
            <w:pPr>
              <w:spacing w:after="160" w:line="276" w:lineRule="auto"/>
              <w:jc w:val="both"/>
              <w:rPr>
                <w:rFonts w:ascii="Arial" w:eastAsia="Calibri" w:hAnsi="Arial" w:cs="Arial"/>
                <w:noProof/>
              </w:rPr>
            </w:pPr>
            <w:r w:rsidRPr="001D50E3">
              <w:rPr>
                <w:rFonts w:ascii="Arial" w:eastAsia="Calibri" w:hAnsi="Arial" w:cs="Arial"/>
                <w:noProof/>
              </w:rPr>
              <w:t>adem.curi@aaipa.gov.mk</w:t>
            </w:r>
          </w:p>
        </w:tc>
      </w:tr>
      <w:tr w:rsidR="00FF2EC0" w:rsidRPr="001D50E3" w:rsidTr="00754C28">
        <w:tc>
          <w:tcPr>
            <w:tcW w:w="1615" w:type="dxa"/>
            <w:tcBorders>
              <w:top w:val="single" w:sz="4" w:space="0" w:color="auto"/>
              <w:left w:val="single" w:sz="4" w:space="0" w:color="auto"/>
              <w:bottom w:val="single" w:sz="4" w:space="0" w:color="auto"/>
              <w:right w:val="single" w:sz="4" w:space="0" w:color="auto"/>
            </w:tcBorders>
            <w:hideMark/>
          </w:tcPr>
          <w:p w:rsidR="00FF2EC0" w:rsidRPr="001D50E3" w:rsidRDefault="00FF2EC0" w:rsidP="008768C7">
            <w:pPr>
              <w:spacing w:after="160" w:line="276" w:lineRule="auto"/>
              <w:jc w:val="both"/>
              <w:rPr>
                <w:rFonts w:ascii="Arial" w:eastAsia="Calibri" w:hAnsi="Arial" w:cs="Arial"/>
                <w:noProof/>
                <w:lang w:val="mk-MK"/>
              </w:rPr>
            </w:pPr>
            <w:r w:rsidRPr="001D50E3">
              <w:rPr>
                <w:rFonts w:ascii="Arial" w:eastAsia="Calibri" w:hAnsi="Arial" w:cs="Arial"/>
                <w:noProof/>
                <w:lang w:val="mk-MK"/>
              </w:rPr>
              <w:t>Organi të cilit duhet t'i bëhen pagesat nga Komisioni</w:t>
            </w:r>
          </w:p>
        </w:tc>
        <w:tc>
          <w:tcPr>
            <w:tcW w:w="1980" w:type="dxa"/>
            <w:tcBorders>
              <w:top w:val="single" w:sz="4" w:space="0" w:color="auto"/>
              <w:left w:val="single" w:sz="4" w:space="0" w:color="auto"/>
              <w:bottom w:val="single" w:sz="4" w:space="0" w:color="auto"/>
              <w:right w:val="single" w:sz="4" w:space="0" w:color="auto"/>
            </w:tcBorders>
            <w:hideMark/>
          </w:tcPr>
          <w:p w:rsidR="00FF2EC0" w:rsidRPr="001D50E3" w:rsidRDefault="00FF2EC0" w:rsidP="008768C7">
            <w:pPr>
              <w:spacing w:after="160" w:line="276" w:lineRule="auto"/>
              <w:jc w:val="both"/>
              <w:rPr>
                <w:rFonts w:ascii="Arial" w:eastAsia="Calibri" w:hAnsi="Arial" w:cs="Arial"/>
                <w:noProof/>
                <w:lang w:val="mk-MK"/>
              </w:rPr>
            </w:pPr>
            <w:r w:rsidRPr="001D50E3">
              <w:rPr>
                <w:rFonts w:ascii="Arial" w:eastAsia="Calibri" w:hAnsi="Arial" w:cs="Arial"/>
                <w:noProof/>
                <w:lang w:val="mk-MK"/>
              </w:rPr>
              <w:t>Drejtoria e Fondit Kombëtar,</w:t>
            </w:r>
          </w:p>
          <w:p w:rsidR="00FF2EC0" w:rsidRPr="001D50E3" w:rsidRDefault="00FF2EC0" w:rsidP="008768C7">
            <w:pPr>
              <w:spacing w:after="160" w:line="276" w:lineRule="auto"/>
              <w:jc w:val="both"/>
              <w:rPr>
                <w:rFonts w:ascii="Arial" w:eastAsia="Calibri" w:hAnsi="Arial" w:cs="Arial"/>
                <w:noProof/>
                <w:lang w:val="mk-MK"/>
              </w:rPr>
            </w:pPr>
            <w:r w:rsidRPr="001D50E3">
              <w:rPr>
                <w:rFonts w:ascii="Arial" w:eastAsia="Calibri" w:hAnsi="Arial" w:cs="Arial"/>
                <w:noProof/>
                <w:lang w:val="mk-MK"/>
              </w:rPr>
              <w:t>Ministria e Financave</w:t>
            </w:r>
          </w:p>
        </w:tc>
        <w:tc>
          <w:tcPr>
            <w:tcW w:w="1890" w:type="dxa"/>
            <w:tcBorders>
              <w:top w:val="single" w:sz="4" w:space="0" w:color="auto"/>
              <w:left w:val="single" w:sz="4" w:space="0" w:color="auto"/>
              <w:bottom w:val="single" w:sz="4" w:space="0" w:color="auto"/>
              <w:right w:val="single" w:sz="4" w:space="0" w:color="auto"/>
            </w:tcBorders>
            <w:hideMark/>
          </w:tcPr>
          <w:p w:rsidR="00FF2EC0" w:rsidRPr="001D50E3" w:rsidRDefault="00FF2EC0" w:rsidP="008768C7">
            <w:pPr>
              <w:spacing w:after="160" w:line="276" w:lineRule="auto"/>
              <w:jc w:val="both"/>
              <w:rPr>
                <w:rFonts w:ascii="Arial" w:eastAsia="Calibri" w:hAnsi="Arial" w:cs="Arial"/>
                <w:noProof/>
                <w:lang w:val="mk-MK"/>
              </w:rPr>
            </w:pPr>
            <w:r w:rsidRPr="001D50E3">
              <w:rPr>
                <w:rFonts w:ascii="Arial" w:eastAsia="Calibri" w:hAnsi="Arial" w:cs="Arial"/>
                <w:noProof/>
                <w:lang w:val="mk-MK"/>
              </w:rPr>
              <w:t>Manuela Milloseva</w:t>
            </w:r>
          </w:p>
          <w:p w:rsidR="00FF2EC0" w:rsidRPr="001D50E3" w:rsidRDefault="00FF2EC0" w:rsidP="008768C7">
            <w:pPr>
              <w:spacing w:after="160" w:line="276" w:lineRule="auto"/>
              <w:jc w:val="both"/>
              <w:rPr>
                <w:rFonts w:ascii="Arial" w:eastAsia="Calibri" w:hAnsi="Arial" w:cs="Arial"/>
                <w:noProof/>
                <w:lang w:val="mk-MK"/>
              </w:rPr>
            </w:pPr>
            <w:r w:rsidRPr="001D50E3">
              <w:rPr>
                <w:rFonts w:ascii="Arial" w:eastAsia="Calibri" w:hAnsi="Arial" w:cs="Arial"/>
                <w:noProof/>
                <w:lang w:val="mk-MK"/>
              </w:rPr>
              <w:t>Drejtor i Drejtorisë së Fondit Kombëtar</w:t>
            </w:r>
          </w:p>
        </w:tc>
        <w:tc>
          <w:tcPr>
            <w:tcW w:w="3865" w:type="dxa"/>
            <w:tcBorders>
              <w:top w:val="single" w:sz="4" w:space="0" w:color="auto"/>
              <w:left w:val="single" w:sz="4" w:space="0" w:color="auto"/>
              <w:bottom w:val="single" w:sz="4" w:space="0" w:color="auto"/>
              <w:right w:val="single" w:sz="4" w:space="0" w:color="auto"/>
            </w:tcBorders>
            <w:hideMark/>
          </w:tcPr>
          <w:p w:rsidR="00FF2EC0" w:rsidRPr="001D50E3" w:rsidRDefault="00FF2EC0" w:rsidP="008768C7">
            <w:pPr>
              <w:spacing w:after="160" w:line="276" w:lineRule="auto"/>
              <w:jc w:val="both"/>
              <w:rPr>
                <w:rFonts w:ascii="Arial" w:eastAsia="Calibri" w:hAnsi="Arial" w:cs="Arial"/>
                <w:noProof/>
              </w:rPr>
            </w:pPr>
            <w:r w:rsidRPr="001D50E3">
              <w:rPr>
                <w:rFonts w:ascii="Arial" w:eastAsia="Calibri" w:hAnsi="Arial" w:cs="Arial"/>
                <w:noProof/>
              </w:rPr>
              <w:t xml:space="preserve">natfund@minfin.bg </w:t>
            </w:r>
          </w:p>
        </w:tc>
      </w:tr>
    </w:tbl>
    <w:p w:rsidR="00FF2EC0" w:rsidRPr="001D50E3" w:rsidRDefault="00FF2EC0" w:rsidP="008768C7">
      <w:pPr>
        <w:spacing w:line="276" w:lineRule="auto"/>
        <w:jc w:val="both"/>
        <w:rPr>
          <w:rFonts w:ascii="Arial" w:hAnsi="Arial" w:cs="Arial"/>
          <w:b/>
          <w:lang w:val="sq-AL"/>
        </w:rPr>
      </w:pPr>
      <w:r w:rsidRPr="001D50E3">
        <w:rPr>
          <w:rFonts w:ascii="Arial" w:hAnsi="Arial" w:cs="Arial"/>
          <w:b/>
          <w:lang w:val="sq-AL"/>
        </w:rPr>
        <w:t>7.2. Procedura për krijimin e një sekretariati të përbashkët</w:t>
      </w:r>
    </w:p>
    <w:p w:rsidR="00FF2EC0" w:rsidRPr="001D50E3" w:rsidRDefault="00FF2EC0" w:rsidP="008768C7">
      <w:pPr>
        <w:spacing w:line="276" w:lineRule="auto"/>
        <w:jc w:val="both"/>
        <w:rPr>
          <w:rFonts w:ascii="Arial" w:hAnsi="Arial" w:cs="Arial"/>
          <w:b/>
          <w:lang w:val="sq-AL"/>
        </w:rPr>
      </w:pPr>
      <w:r w:rsidRPr="001D50E3">
        <w:rPr>
          <w:rFonts w:ascii="Arial" w:hAnsi="Arial" w:cs="Arial"/>
          <w:b/>
          <w:lang w:val="sq-AL"/>
        </w:rPr>
        <w:t>Referenca: pika (b) e nenit 17 (6)</w:t>
      </w:r>
    </w:p>
    <w:p w:rsidR="00FF2EC0" w:rsidRPr="001D50E3" w:rsidRDefault="00FF2EC0" w:rsidP="008768C7">
      <w:pPr>
        <w:spacing w:line="276" w:lineRule="auto"/>
        <w:jc w:val="both"/>
        <w:rPr>
          <w:rFonts w:ascii="Arial" w:hAnsi="Arial" w:cs="Arial"/>
          <w:b/>
          <w:lang w:val="sq-AL"/>
        </w:rPr>
      </w:pPr>
      <w:r w:rsidRPr="001D50E3">
        <w:rPr>
          <w:rFonts w:ascii="Arial" w:hAnsi="Arial" w:cs="Arial"/>
          <w:b/>
          <w:lang w:val="sq-AL"/>
        </w:rPr>
        <w:lastRenderedPageBreak/>
        <w:t>tij nuk mund të sigurojë pagesën nga partneri i brendshëm, vendi-energjia e territorit është e vendosur në lidhje me përdoruesin e tij do të paguajë për organin e administruar jo të drejtën e pagesës së atij partneri. Kur vendi-partner nuk i paguan organit për menaxhimin e padrejtë të paguante shumën e partnerit, ato shuma do të rriten me nalog për pagesën e lëshuar nga burimi që do të ekzekutohet, ku është e mundur, me dhënien e një partneri të plotë të vendit.</w:t>
      </w:r>
    </w:p>
    <w:p w:rsidR="00FF2EC0" w:rsidRPr="001D50E3" w:rsidRDefault="00FF2EC0" w:rsidP="008768C7">
      <w:pPr>
        <w:spacing w:line="276" w:lineRule="auto"/>
        <w:jc w:val="both"/>
        <w:rPr>
          <w:rFonts w:ascii="Arial" w:hAnsi="Arial" w:cs="Arial"/>
          <w:b/>
          <w:lang w:val="sq-AL"/>
        </w:rPr>
      </w:pPr>
      <w:r w:rsidRPr="001D50E3">
        <w:rPr>
          <w:rFonts w:ascii="Arial" w:hAnsi="Arial" w:cs="Arial"/>
          <w:b/>
          <w:lang w:val="sq-AL"/>
        </w:rPr>
        <w:t>Organi kontrollues është përgjegjës për kompensimin e sasive të përgjithshme në buxhetin e Bashkimit, në përputhje me shpërndarjen e ndryshimeve të ndërlidhura me mësimin e përbashkët, se si është përcaktuar në këtë program dhe si është e shënuar në përcaktimin e mëtejshëm të Memorandumit për kuptimin/Memorandumin për zbatimin.</w:t>
      </w:r>
    </w:p>
    <w:p w:rsidR="00FF2EC0" w:rsidRPr="001D50E3" w:rsidRDefault="00FF2EC0" w:rsidP="008768C7">
      <w:pPr>
        <w:spacing w:line="276" w:lineRule="auto"/>
        <w:jc w:val="both"/>
        <w:rPr>
          <w:rFonts w:ascii="Arial" w:hAnsi="Arial" w:cs="Arial"/>
          <w:b/>
          <w:lang w:val="sq-AL"/>
        </w:rPr>
      </w:pPr>
      <w:r w:rsidRPr="001D50E3">
        <w:rPr>
          <w:rFonts w:ascii="Arial" w:hAnsi="Arial" w:cs="Arial"/>
          <w:b/>
          <w:lang w:val="sq-AL"/>
        </w:rPr>
        <w:t>Në përputhje me anëtarët 104 nga Rregullativa (EU) 2021/1060 – РЗО, Komisioni ka të drejtë të kryejë koreksionet financiare të mbështetjes nga Fondet e programit dhe të kryerjes së pagesës Tekstualisht terren [3 500]</w:t>
      </w:r>
    </w:p>
    <w:p w:rsidR="00FF2EC0" w:rsidRPr="001D50E3" w:rsidRDefault="00FF2EC0" w:rsidP="008768C7">
      <w:pPr>
        <w:spacing w:line="276" w:lineRule="auto"/>
        <w:jc w:val="both"/>
        <w:rPr>
          <w:rFonts w:ascii="Arial" w:hAnsi="Arial" w:cs="Arial"/>
          <w:b/>
          <w:lang w:val="sq-AL"/>
        </w:rPr>
      </w:pPr>
      <w:r w:rsidRPr="001D50E3">
        <w:rPr>
          <w:rFonts w:ascii="Arial" w:hAnsi="Arial" w:cs="Arial"/>
          <w:b/>
          <w:lang w:val="sq-AL"/>
        </w:rPr>
        <w:t>Заедничкиот секретаријат (ЗС) е një strukturë e përbashkët e cila ndihmon në Управата на Органот (УО), Komiteti i Përfaqësuesve Kombëtarë (НО) и на Komiteti Kombëtar për ndjekjen (ЗКС) në kryerjen e tyre të funksioneve, siguria e informacionit për mbrojtjen e mundësisë së përdoruesve të mundësuarve që mund të kenë mundësinë e realizimit. në projekte.</w:t>
      </w:r>
    </w:p>
    <w:p w:rsidR="00FF2EC0" w:rsidRPr="001D50E3" w:rsidRDefault="00FF2EC0" w:rsidP="008768C7">
      <w:pPr>
        <w:spacing w:line="276" w:lineRule="auto"/>
        <w:jc w:val="both"/>
        <w:rPr>
          <w:rFonts w:ascii="Arial" w:hAnsi="Arial" w:cs="Arial"/>
          <w:b/>
          <w:lang w:val="sq-AL"/>
        </w:rPr>
      </w:pPr>
      <w:r w:rsidRPr="001D50E3">
        <w:rPr>
          <w:rFonts w:ascii="Arial" w:hAnsi="Arial" w:cs="Arial"/>
          <w:b/>
          <w:lang w:val="sq-AL"/>
        </w:rPr>
        <w:t>Në përputhje me член 17(7)(b), UO në bashkëpunim me NO do të formojë ЗС. ZRG vendos të mbajë ZS në vendndodhjen në Qustendil (Republika Bullgaria) me shoqërinë e vendosur në Struma, Republika e Veriut për programin e periudhës 2021-2027 vit si ishte rasti për kohën nga 2007-2013 vit dhe 2014-2020 vit Bullgaria- FIROM (поранешна југословенска република Македонија), поради следните аргументи:</w:t>
      </w:r>
    </w:p>
    <w:p w:rsidR="00FF2EC0" w:rsidRPr="001D50E3" w:rsidRDefault="00FF2EC0" w:rsidP="008768C7">
      <w:pPr>
        <w:spacing w:line="276" w:lineRule="auto"/>
        <w:jc w:val="both"/>
        <w:rPr>
          <w:rFonts w:ascii="Arial" w:hAnsi="Arial" w:cs="Arial"/>
          <w:b/>
          <w:lang w:val="sq-AL"/>
        </w:rPr>
      </w:pPr>
      <w:r w:rsidRPr="001D50E3">
        <w:rPr>
          <w:rFonts w:ascii="Arial" w:hAnsi="Arial" w:cs="Arial"/>
          <w:b/>
          <w:lang w:val="sq-AL"/>
        </w:rPr>
        <w:t>- Një përvojë nga një program programor do të jetë e mundur të fillohet me zbatimin e programit të ri që është e mundur,</w:t>
      </w:r>
    </w:p>
    <w:p w:rsidR="00FF2EC0" w:rsidRPr="001D50E3" w:rsidRDefault="00FF2EC0" w:rsidP="008768C7">
      <w:pPr>
        <w:spacing w:line="276" w:lineRule="auto"/>
        <w:jc w:val="both"/>
        <w:rPr>
          <w:rFonts w:ascii="Arial" w:hAnsi="Arial" w:cs="Arial"/>
          <w:b/>
          <w:lang w:val="sq-AL"/>
        </w:rPr>
      </w:pPr>
      <w:r w:rsidRPr="001D50E3">
        <w:rPr>
          <w:rFonts w:ascii="Arial" w:hAnsi="Arial" w:cs="Arial"/>
          <w:b/>
          <w:lang w:val="sq-AL"/>
        </w:rPr>
        <w:t xml:space="preserve"> - Канцелариите во Ќтендил и Струмица janë më parë administratore të strukturave funksionale dhe me përvojë në menaxhimin e programeve. Ky do të jetë i sigurt për operativitetin e shpenzimeve për trajnimin e personelit.</w:t>
      </w:r>
    </w:p>
    <w:p w:rsidR="00FF2EC0" w:rsidRPr="001D50E3" w:rsidRDefault="00FF2EC0" w:rsidP="008768C7">
      <w:pPr>
        <w:spacing w:line="276" w:lineRule="auto"/>
        <w:jc w:val="both"/>
        <w:rPr>
          <w:rFonts w:ascii="Arial" w:hAnsi="Arial" w:cs="Arial"/>
          <w:b/>
          <w:lang w:val="sq-AL"/>
        </w:rPr>
      </w:pPr>
      <w:r w:rsidRPr="001D50E3">
        <w:rPr>
          <w:rFonts w:ascii="Arial" w:hAnsi="Arial" w:cs="Arial"/>
          <w:b/>
          <w:lang w:val="sq-AL"/>
        </w:rPr>
        <w:t>-punëtorët e tanishëm ZS u rishikuan dhe mund të lehtësohen të përditësohen sipas rregulloreve të reja të BE-së dhe të mjekimeve, shpenzimet për detyrat e ZS-së do të financohen nga buxheti për ndihmën teknike të programit. ZС do të ketë personel teknikisht do të flasë gjuhën angleze, si dhe në një nga gjuhët shtetërore të partnerëve.</w:t>
      </w:r>
    </w:p>
    <w:p w:rsidR="00FF2EC0" w:rsidRPr="001D50E3" w:rsidRDefault="00FF2EC0" w:rsidP="008768C7">
      <w:pPr>
        <w:spacing w:line="276" w:lineRule="auto"/>
        <w:jc w:val="both"/>
        <w:rPr>
          <w:rFonts w:ascii="Arial" w:hAnsi="Arial" w:cs="Arial"/>
          <w:b/>
          <w:lang w:val="sq-AL"/>
        </w:rPr>
      </w:pPr>
      <w:r w:rsidRPr="001D50E3">
        <w:rPr>
          <w:rFonts w:ascii="Arial" w:hAnsi="Arial" w:cs="Arial"/>
          <w:b/>
          <w:lang w:val="sq-AL"/>
        </w:rPr>
        <w:t>Подружницата во Струмица do të ketë kryefjalën e përdoruesve që do të shërbejë si pikë kontakti për përdoruesit e projekteve ose të mundshme. Për sa i përket asaj që personeli i ZTS për programin përmes kufirit IPA në Republikën e Bullgarisë- Republika e Veriut të Maqedonisë më parë është shpallur, ai do të jetë përgjegjës dhe përgjegjësi, sipas ekspertëve të personit për ndërmarrjen përtej bashkëpunimit INTERREG I Republikës së Bullgarisë - Republika e Veriut të Maqedonisë</w:t>
      </w:r>
    </w:p>
    <w:p w:rsidR="00FF2EC0" w:rsidRPr="001D50E3" w:rsidRDefault="00FF2EC0" w:rsidP="008768C7">
      <w:pPr>
        <w:spacing w:line="276" w:lineRule="auto"/>
        <w:jc w:val="both"/>
        <w:rPr>
          <w:rFonts w:ascii="Arial" w:hAnsi="Arial" w:cs="Arial"/>
          <w:b/>
          <w:lang w:val="sq-AL"/>
        </w:rPr>
      </w:pPr>
      <w:r w:rsidRPr="001D50E3">
        <w:rPr>
          <w:rFonts w:ascii="Arial" w:hAnsi="Arial" w:cs="Arial"/>
          <w:b/>
          <w:lang w:val="sq-AL"/>
        </w:rPr>
        <w:t xml:space="preserve">7.3 Распределба на обврските ndërmjet dy vendeve-arsimore dhe ku është e lidhur, e dyta ose vendet partnere dhe vendet anëtare dhe vendet e para dhe territoret – POZT </w:t>
      </w:r>
      <w:r w:rsidRPr="001D50E3">
        <w:rPr>
          <w:rFonts w:ascii="Arial" w:hAnsi="Arial" w:cs="Arial"/>
          <w:b/>
          <w:lang w:val="sq-AL"/>
        </w:rPr>
        <w:lastRenderedPageBreak/>
        <w:t>(OCTs), në rastet e koreksioneve financiare nametati nga organi i administruar ose vendimi.</w:t>
      </w:r>
    </w:p>
    <w:p w:rsidR="00FF2EC0" w:rsidRPr="001D50E3" w:rsidRDefault="00FF2EC0" w:rsidP="008768C7">
      <w:pPr>
        <w:spacing w:before="240" w:after="240" w:line="276" w:lineRule="auto"/>
        <w:jc w:val="both"/>
        <w:rPr>
          <w:rFonts w:ascii="Arial" w:eastAsia="Times New Roman" w:hAnsi="Arial" w:cs="Arial"/>
          <w:iCs/>
          <w:noProof/>
          <w:lang w:eastAsia="en-GB"/>
        </w:rPr>
      </w:pPr>
      <w:r w:rsidRPr="001D50E3">
        <w:rPr>
          <w:rFonts w:ascii="Arial" w:eastAsia="Times New Roman" w:hAnsi="Arial" w:cs="Arial"/>
          <w:iCs/>
          <w:noProof/>
          <w:lang w:eastAsia="en-GB"/>
        </w:rPr>
        <w:t>Референца: точка (в) од член 17(6)</w:t>
      </w:r>
    </w:p>
    <w:p w:rsidR="00FF2EC0" w:rsidRPr="001D50E3" w:rsidRDefault="00FF2EC0" w:rsidP="008768C7">
      <w:pPr>
        <w:spacing w:line="276" w:lineRule="auto"/>
        <w:jc w:val="both"/>
        <w:rPr>
          <w:rFonts w:ascii="Arial" w:hAnsi="Arial" w:cs="Arial"/>
          <w:b/>
          <w:lang w:val="sq-AL"/>
        </w:rPr>
      </w:pPr>
      <w:r w:rsidRPr="001D50E3">
        <w:rPr>
          <w:rFonts w:ascii="Arial" w:hAnsi="Arial" w:cs="Arial"/>
          <w:b/>
          <w:lang w:val="sq-AL"/>
        </w:rPr>
        <w:t>Sipas чл. 69 (2) nga Rregullorja (EU) 2021/100 - РЗО, partneri do të jetë i sigurt për ligjin dhe rregulloren e disponimit mashtrimа. Çdo vend partner do të përgjigjet për hulumtimin e parregullsive të përdoruesve të vendosur në territorin e tyre. Korrigjimi i Financave do të përbëhet nga anulimi i të gjithë ose pjesë e mbështetjes nga Fondacionet për funksionimin ose programi ku do të zgjedhë zgjedhjen e gabuar. Финансиските корекции се eвидентираат во годишната llogari nga ana e organit për menaxhimin e vendimit të vitit në atë se cila do të vendosë për kthimin.</w:t>
      </w:r>
    </w:p>
    <w:p w:rsidR="00FF2EC0" w:rsidRPr="001D50E3" w:rsidRDefault="00FF2EC0" w:rsidP="008768C7">
      <w:pPr>
        <w:spacing w:line="276" w:lineRule="auto"/>
        <w:jc w:val="both"/>
        <w:rPr>
          <w:rFonts w:ascii="Arial" w:hAnsi="Arial" w:cs="Arial"/>
          <w:b/>
          <w:lang w:val="sq-AL"/>
        </w:rPr>
      </w:pPr>
      <w:r w:rsidRPr="001D50E3">
        <w:rPr>
          <w:rFonts w:ascii="Arial" w:hAnsi="Arial" w:cs="Arial"/>
          <w:b/>
          <w:lang w:val="sq-AL"/>
        </w:rPr>
        <w:t>Rregullorja e organit të garantuar se çdo sasi e paguar si e parregullt është e lidhur nga grupi ose i vetmi partner. Partnerët do t'ju kthejnë në partnerin e ngushtë të të gjithëve që nuk janë të drejtë të paguara. Të gjitha sendet e rregulloreve në lidhje me ato të shumave që do të jenë të padrejta duhet të jenë të qëndrueshme dhe në marrëveshjen që do të jenë të lidhura ndërmjet organeve për menaxhimin dhe anëtarët e partnerëve dhe në marrëveshjen për partneritetin që duhet të mbrohet nga përdoruesit.</w:t>
      </w:r>
    </w:p>
    <w:p w:rsidR="00FF2EC0" w:rsidRPr="001D50E3" w:rsidRDefault="00FF2EC0" w:rsidP="008768C7">
      <w:pPr>
        <w:spacing w:line="276" w:lineRule="auto"/>
        <w:jc w:val="both"/>
        <w:rPr>
          <w:rFonts w:ascii="Arial" w:hAnsi="Arial" w:cs="Arial"/>
          <w:b/>
          <w:lang w:val="sq-AL"/>
        </w:rPr>
      </w:pPr>
      <w:r w:rsidRPr="001D50E3">
        <w:rPr>
          <w:rFonts w:ascii="Arial" w:hAnsi="Arial" w:cs="Arial"/>
          <w:b/>
          <w:lang w:val="sq-AL"/>
        </w:rPr>
        <w:t>Nëse partneri i ngushtë nuk mund të mbrojë nga partnerët e tjerë ose nëse organi për menaxhimin e nga partnerët me të gjithë të përjashtuar nga financat e Bashkimit që e zgjidhja e vendimit të një sistemi të Bashkimit dhe të nivelit kombëtar, i lidhur dhe në lidhje me rrjetet në efektshmërinë e funksionimit të menaxhimit dhe kontrollit.</w:t>
      </w:r>
    </w:p>
    <w:p w:rsidR="00FF2EC0" w:rsidRPr="001D50E3" w:rsidRDefault="00FF2EC0" w:rsidP="008768C7">
      <w:pPr>
        <w:spacing w:line="276" w:lineRule="auto"/>
        <w:jc w:val="both"/>
        <w:rPr>
          <w:rFonts w:ascii="Arial" w:hAnsi="Arial" w:cs="Arial"/>
          <w:lang w:val="sq-AL"/>
        </w:rPr>
      </w:pPr>
      <w:r w:rsidRPr="001D50E3">
        <w:rPr>
          <w:rFonts w:ascii="Arial" w:hAnsi="Arial" w:cs="Arial"/>
          <w:lang w:val="sq-AL"/>
        </w:rPr>
        <w:t>Në rast të çdo kore financiare të Komisionit, të dyja palët partnere janë të lidhura për të kthyer shpenzimet proporcionalisht të miratuara nga buxheti i projekteve dhe aktiviteteve nga pjesa më e madhe e banorëve të Bullgarisë dhe Maqedonisë nga koreksioni financiar. Në rastin e koreksioneve financiare nga ana e faqes së Komisionit, për rastet e rasteve ose të padrejta, të dyja vendet-partnere janë të lidhura që hulumtojnë nga një rast në rast. Korreksioni i Financave nga vendimi nuk do të jetë i lidhur me kompaninë e kompanive të partnerëve që do të vazhdojnë me rikuperimin sipas rregulloreve të shteteve evropiane.</w:t>
      </w:r>
    </w:p>
    <w:p w:rsidR="00FF2EC0" w:rsidRPr="001D50E3" w:rsidRDefault="00FF2EC0" w:rsidP="008768C7">
      <w:pPr>
        <w:spacing w:line="276" w:lineRule="auto"/>
        <w:jc w:val="both"/>
        <w:rPr>
          <w:rFonts w:ascii="Arial" w:hAnsi="Arial" w:cs="Arial"/>
          <w:lang w:val="sq-AL"/>
        </w:rPr>
      </w:pPr>
      <w:r w:rsidRPr="001D50E3">
        <w:rPr>
          <w:rFonts w:ascii="Arial" w:hAnsi="Arial" w:cs="Arial"/>
          <w:lang w:val="sq-AL"/>
        </w:rPr>
        <w:t>Memorandumi i biletave për përfundimin/Memorandumin e zbatimit midis partnerëve do të sigurojë rregullat e detajuara në raportet e shpërndarjes së detyrimeve dhe rikthimit të borxhit</w:t>
      </w:r>
    </w:p>
    <w:p w:rsidR="00FF2EC0" w:rsidRPr="001D50E3" w:rsidRDefault="00FF2EC0" w:rsidP="008768C7">
      <w:pPr>
        <w:spacing w:line="276" w:lineRule="auto"/>
        <w:jc w:val="both"/>
        <w:rPr>
          <w:rFonts w:ascii="Arial" w:hAnsi="Arial" w:cs="Arial"/>
          <w:b/>
          <w:lang w:val="sq-AL"/>
        </w:rPr>
      </w:pPr>
      <w:r w:rsidRPr="001D50E3">
        <w:rPr>
          <w:rFonts w:ascii="Arial" w:hAnsi="Arial" w:cs="Arial"/>
          <w:b/>
          <w:lang w:val="sq-AL"/>
        </w:rPr>
        <w:t>8. Përdorimi i shpenzimeve individuale, paushlene, paushlene стапки и financime që nuk janë të lidhura me shpenzimet</w:t>
      </w:r>
    </w:p>
    <w:p w:rsidR="00FF2EC0" w:rsidRPr="001D50E3" w:rsidRDefault="00FF2EC0" w:rsidP="008768C7">
      <w:pPr>
        <w:spacing w:line="276" w:lineRule="auto"/>
        <w:jc w:val="both"/>
        <w:rPr>
          <w:rFonts w:ascii="Arial" w:hAnsi="Arial" w:cs="Arial"/>
          <w:lang w:val="sq-AL"/>
        </w:rPr>
      </w:pPr>
      <w:r w:rsidRPr="001D50E3">
        <w:rPr>
          <w:rFonts w:ascii="Arial" w:hAnsi="Arial" w:cs="Arial"/>
          <w:lang w:val="sq-AL"/>
        </w:rPr>
        <w:t>Referenca: anëtarët 88 dhe 89 nga Rregullorja 2021/…+ (RZO)</w:t>
      </w:r>
    </w:p>
    <w:p w:rsidR="00FF2EC0" w:rsidRPr="001D50E3" w:rsidRDefault="00FF2EC0" w:rsidP="008768C7">
      <w:pPr>
        <w:spacing w:line="276" w:lineRule="auto"/>
        <w:jc w:val="both"/>
        <w:rPr>
          <w:rFonts w:ascii="Arial" w:hAnsi="Arial" w:cs="Arial"/>
          <w:lang w:val="sq-AL"/>
        </w:rPr>
      </w:pPr>
      <w:r w:rsidRPr="001D50E3">
        <w:rPr>
          <w:rFonts w:ascii="Arial" w:hAnsi="Arial" w:cs="Arial"/>
          <w:lang w:val="sq-AL"/>
        </w:rPr>
        <w:t>+ OJ: Ju lutemi jepni numrin e tekstit të Rregullores së mbështetur në dokumentin … [2018/0196(COD)].</w:t>
      </w:r>
    </w:p>
    <w:p w:rsidR="00FF2EC0" w:rsidRDefault="00FF2EC0" w:rsidP="008768C7">
      <w:pPr>
        <w:spacing w:line="276" w:lineRule="auto"/>
        <w:jc w:val="both"/>
        <w:rPr>
          <w:rFonts w:ascii="Arial" w:hAnsi="Arial" w:cs="Arial"/>
          <w:lang w:val="sq-AL"/>
        </w:rPr>
      </w:pPr>
      <w:r w:rsidRPr="001D50E3">
        <w:rPr>
          <w:rFonts w:ascii="Arial" w:hAnsi="Arial" w:cs="Arial"/>
          <w:lang w:val="sq-AL"/>
        </w:rPr>
        <w:t>Tabela 11: Përdorimi i shpenzimeve individuale, paushlene, paushalisht dhe financuesit që nuk janë të lidhura me shpenzimet</w:t>
      </w:r>
    </w:p>
    <w:p w:rsidR="00AA172B" w:rsidRPr="001D50E3" w:rsidRDefault="00AA172B" w:rsidP="008768C7">
      <w:pPr>
        <w:spacing w:line="276" w:lineRule="auto"/>
        <w:jc w:val="both"/>
        <w:rPr>
          <w:rFonts w:ascii="Arial" w:hAnsi="Arial" w:cs="Arial"/>
          <w:lang w:val="sq-AL"/>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1701"/>
        <w:gridCol w:w="1701"/>
      </w:tblGrid>
      <w:tr w:rsidR="00FF2EC0" w:rsidRPr="001D50E3" w:rsidTr="00754C28">
        <w:tc>
          <w:tcPr>
            <w:tcW w:w="5920" w:type="dxa"/>
            <w:tcBorders>
              <w:top w:val="single" w:sz="4" w:space="0" w:color="auto"/>
              <w:left w:val="single" w:sz="4" w:space="0" w:color="auto"/>
              <w:bottom w:val="single" w:sz="4" w:space="0" w:color="auto"/>
              <w:right w:val="single" w:sz="4" w:space="0" w:color="auto"/>
            </w:tcBorders>
            <w:hideMark/>
          </w:tcPr>
          <w:p w:rsidR="00FF2EC0" w:rsidRPr="001D50E3" w:rsidRDefault="00FF2EC0" w:rsidP="008768C7">
            <w:pPr>
              <w:spacing w:before="120" w:line="276" w:lineRule="auto"/>
              <w:jc w:val="both"/>
              <w:rPr>
                <w:rFonts w:ascii="Arial" w:eastAsia="Calibri" w:hAnsi="Arial" w:cs="Arial"/>
                <w:b/>
                <w:bCs/>
                <w:noProof/>
              </w:rPr>
            </w:pPr>
            <w:r w:rsidRPr="001D50E3">
              <w:rPr>
                <w:rFonts w:ascii="Arial" w:eastAsia="Calibri" w:hAnsi="Arial" w:cs="Arial"/>
                <w:b/>
                <w:bCs/>
                <w:noProof/>
              </w:rPr>
              <w:lastRenderedPageBreak/>
              <w:t>Emri për përdorimin e anëtarëve 88 dhe 89</w:t>
            </w:r>
          </w:p>
        </w:tc>
        <w:tc>
          <w:tcPr>
            <w:tcW w:w="1701" w:type="dxa"/>
            <w:tcBorders>
              <w:top w:val="single" w:sz="4" w:space="0" w:color="auto"/>
              <w:left w:val="single" w:sz="4" w:space="0" w:color="auto"/>
              <w:bottom w:val="single" w:sz="4" w:space="0" w:color="auto"/>
              <w:right w:val="single" w:sz="4" w:space="0" w:color="auto"/>
            </w:tcBorders>
            <w:hideMark/>
          </w:tcPr>
          <w:p w:rsidR="00FF2EC0" w:rsidRPr="001D50E3" w:rsidRDefault="00FF2EC0" w:rsidP="008768C7">
            <w:pPr>
              <w:spacing w:before="120" w:line="276" w:lineRule="auto"/>
              <w:jc w:val="both"/>
              <w:rPr>
                <w:rFonts w:ascii="Arial" w:eastAsia="Calibri" w:hAnsi="Arial" w:cs="Arial"/>
                <w:b/>
                <w:bCs/>
                <w:noProof/>
                <w:lang w:val="sq-AL"/>
              </w:rPr>
            </w:pPr>
            <w:r w:rsidRPr="001D50E3">
              <w:rPr>
                <w:rFonts w:ascii="Arial" w:eastAsia="Calibri" w:hAnsi="Arial" w:cs="Arial"/>
                <w:b/>
                <w:bCs/>
                <w:noProof/>
                <w:lang w:val="sq-AL"/>
              </w:rPr>
              <w:t>PO</w:t>
            </w:r>
          </w:p>
        </w:tc>
        <w:tc>
          <w:tcPr>
            <w:tcW w:w="1701" w:type="dxa"/>
            <w:tcBorders>
              <w:top w:val="single" w:sz="4" w:space="0" w:color="auto"/>
              <w:left w:val="single" w:sz="4" w:space="0" w:color="auto"/>
              <w:bottom w:val="single" w:sz="4" w:space="0" w:color="auto"/>
              <w:right w:val="single" w:sz="4" w:space="0" w:color="auto"/>
            </w:tcBorders>
            <w:hideMark/>
          </w:tcPr>
          <w:p w:rsidR="00FF2EC0" w:rsidRPr="001D50E3" w:rsidRDefault="00FF2EC0" w:rsidP="008768C7">
            <w:pPr>
              <w:spacing w:before="120" w:line="276" w:lineRule="auto"/>
              <w:jc w:val="both"/>
              <w:rPr>
                <w:rFonts w:ascii="Arial" w:eastAsia="Calibri" w:hAnsi="Arial" w:cs="Arial"/>
                <w:b/>
                <w:bCs/>
                <w:noProof/>
                <w:lang w:val="sq-AL"/>
              </w:rPr>
            </w:pPr>
            <w:r w:rsidRPr="001D50E3">
              <w:rPr>
                <w:rFonts w:ascii="Arial" w:eastAsia="Calibri" w:hAnsi="Arial" w:cs="Arial"/>
                <w:b/>
                <w:bCs/>
                <w:noProof/>
                <w:lang w:val="sq-AL"/>
              </w:rPr>
              <w:t>JO</w:t>
            </w:r>
          </w:p>
        </w:tc>
      </w:tr>
      <w:tr w:rsidR="00FF2EC0" w:rsidRPr="001D50E3" w:rsidTr="00754C28">
        <w:tc>
          <w:tcPr>
            <w:tcW w:w="5920" w:type="dxa"/>
            <w:tcBorders>
              <w:top w:val="single" w:sz="4" w:space="0" w:color="auto"/>
              <w:left w:val="single" w:sz="4" w:space="0" w:color="auto"/>
              <w:bottom w:val="single" w:sz="4" w:space="0" w:color="auto"/>
              <w:right w:val="single" w:sz="4" w:space="0" w:color="auto"/>
            </w:tcBorders>
            <w:hideMark/>
          </w:tcPr>
          <w:p w:rsidR="00FF2EC0" w:rsidRPr="001D50E3" w:rsidRDefault="00FF2EC0" w:rsidP="008768C7">
            <w:pPr>
              <w:spacing w:before="120" w:line="276" w:lineRule="auto"/>
              <w:jc w:val="both"/>
              <w:rPr>
                <w:rFonts w:ascii="Arial" w:eastAsia="Calibri" w:hAnsi="Arial" w:cs="Arial"/>
                <w:b/>
                <w:bCs/>
                <w:noProof/>
              </w:rPr>
            </w:pPr>
            <w:r w:rsidRPr="001D50E3">
              <w:rPr>
                <w:rFonts w:ascii="Arial" w:eastAsia="Calibri" w:hAnsi="Arial" w:cs="Arial"/>
                <w:b/>
                <w:bCs/>
                <w:noProof/>
              </w:rPr>
              <w:t>Nga marrja e, programi do të përdorë kompensimin e kontributit të Bashkimit mbi bazën e shpenzimeve individuale, të paushalleve dhe të paushalleve sipas përparësisë sipas anëtarëve 88 nga ROZO</w:t>
            </w:r>
          </w:p>
        </w:tc>
        <w:tc>
          <w:tcPr>
            <w:tcW w:w="1701" w:type="dxa"/>
            <w:tcBorders>
              <w:top w:val="single" w:sz="4" w:space="0" w:color="auto"/>
              <w:left w:val="single" w:sz="4" w:space="0" w:color="auto"/>
              <w:bottom w:val="single" w:sz="4" w:space="0" w:color="auto"/>
              <w:right w:val="single" w:sz="4" w:space="0" w:color="auto"/>
            </w:tcBorders>
            <w:hideMark/>
          </w:tcPr>
          <w:p w:rsidR="00FF2EC0" w:rsidRPr="001D50E3" w:rsidRDefault="00FF2EC0" w:rsidP="008768C7">
            <w:pPr>
              <w:spacing w:before="120" w:line="276" w:lineRule="auto"/>
              <w:jc w:val="both"/>
              <w:rPr>
                <w:rFonts w:ascii="Arial" w:eastAsia="Calibri" w:hAnsi="Arial" w:cs="Arial"/>
                <w:b/>
                <w:bCs/>
                <w:noProof/>
              </w:rPr>
            </w:pPr>
            <w:r w:rsidRPr="001D50E3">
              <w:rPr>
                <w:rFonts w:ascii="Arial" w:eastAsia="Calibri" w:hAnsi="Arial" w:cs="Arial"/>
                <w:b/>
                <w:bCs/>
                <w:noProof/>
              </w:rPr>
              <w:fldChar w:fldCharType="begin">
                <w:ffData>
                  <w:name w:val="Check2"/>
                  <w:enabled/>
                  <w:calcOnExit w:val="0"/>
                  <w:checkBox>
                    <w:sizeAuto/>
                    <w:default w:val="0"/>
                  </w:checkBox>
                </w:ffData>
              </w:fldChar>
            </w:r>
            <w:r w:rsidRPr="001D50E3">
              <w:rPr>
                <w:rFonts w:ascii="Arial" w:eastAsia="Calibri" w:hAnsi="Arial" w:cs="Arial"/>
                <w:b/>
                <w:bCs/>
                <w:noProof/>
              </w:rPr>
              <w:instrText xml:space="preserve"> FORMCHECKBOX </w:instrText>
            </w:r>
            <w:r w:rsidR="00D747ED">
              <w:rPr>
                <w:rFonts w:ascii="Arial" w:eastAsia="Calibri" w:hAnsi="Arial" w:cs="Arial"/>
                <w:b/>
                <w:bCs/>
                <w:noProof/>
              </w:rPr>
            </w:r>
            <w:r w:rsidR="00D747ED">
              <w:rPr>
                <w:rFonts w:ascii="Arial" w:eastAsia="Calibri" w:hAnsi="Arial" w:cs="Arial"/>
                <w:b/>
                <w:bCs/>
                <w:noProof/>
              </w:rPr>
              <w:fldChar w:fldCharType="separate"/>
            </w:r>
            <w:r w:rsidRPr="001D50E3">
              <w:rPr>
                <w:rFonts w:ascii="Arial" w:eastAsia="Calibri" w:hAnsi="Arial" w:cs="Arial"/>
                <w:b/>
                <w:bCs/>
                <w:noProof/>
              </w:rPr>
              <w:fldChar w:fldCharType="end"/>
            </w:r>
          </w:p>
        </w:tc>
        <w:tc>
          <w:tcPr>
            <w:tcW w:w="1701" w:type="dxa"/>
            <w:tcBorders>
              <w:top w:val="single" w:sz="4" w:space="0" w:color="auto"/>
              <w:left w:val="single" w:sz="4" w:space="0" w:color="auto"/>
              <w:bottom w:val="single" w:sz="4" w:space="0" w:color="auto"/>
              <w:right w:val="single" w:sz="4" w:space="0" w:color="auto"/>
            </w:tcBorders>
            <w:hideMark/>
          </w:tcPr>
          <w:p w:rsidR="00FF2EC0" w:rsidRPr="001D50E3" w:rsidRDefault="00FF2EC0" w:rsidP="008768C7">
            <w:pPr>
              <w:spacing w:before="120" w:line="276" w:lineRule="auto"/>
              <w:jc w:val="both"/>
              <w:rPr>
                <w:rFonts w:ascii="Arial" w:eastAsia="Calibri" w:hAnsi="Arial" w:cs="Arial"/>
                <w:b/>
                <w:bCs/>
                <w:noProof/>
              </w:rPr>
            </w:pPr>
            <w:r w:rsidRPr="001D50E3">
              <w:rPr>
                <w:rFonts w:ascii="Arial" w:eastAsia="Calibri" w:hAnsi="Arial" w:cs="Arial"/>
                <w:b/>
                <w:bCs/>
                <w:noProof/>
              </w:rPr>
              <w:fldChar w:fldCharType="begin">
                <w:ffData>
                  <w:name w:val="Check1"/>
                  <w:enabled/>
                  <w:calcOnExit w:val="0"/>
                  <w:checkBox>
                    <w:sizeAuto/>
                    <w:default w:val="0"/>
                  </w:checkBox>
                </w:ffData>
              </w:fldChar>
            </w:r>
            <w:r w:rsidRPr="001D50E3">
              <w:rPr>
                <w:rFonts w:ascii="Arial" w:eastAsia="Calibri" w:hAnsi="Arial" w:cs="Arial"/>
                <w:b/>
                <w:bCs/>
                <w:noProof/>
              </w:rPr>
              <w:instrText xml:space="preserve"> FORMCHECKBOX </w:instrText>
            </w:r>
            <w:r w:rsidR="00D747ED">
              <w:rPr>
                <w:rFonts w:ascii="Arial" w:eastAsia="Calibri" w:hAnsi="Arial" w:cs="Arial"/>
                <w:b/>
                <w:bCs/>
                <w:noProof/>
              </w:rPr>
            </w:r>
            <w:r w:rsidR="00D747ED">
              <w:rPr>
                <w:rFonts w:ascii="Arial" w:eastAsia="Calibri" w:hAnsi="Arial" w:cs="Arial"/>
                <w:b/>
                <w:bCs/>
                <w:noProof/>
              </w:rPr>
              <w:fldChar w:fldCharType="separate"/>
            </w:r>
            <w:r w:rsidRPr="001D50E3">
              <w:rPr>
                <w:rFonts w:ascii="Arial" w:eastAsia="Calibri" w:hAnsi="Arial" w:cs="Arial"/>
                <w:b/>
                <w:bCs/>
                <w:noProof/>
              </w:rPr>
              <w:fldChar w:fldCharType="end"/>
            </w:r>
          </w:p>
        </w:tc>
      </w:tr>
      <w:tr w:rsidR="00FF2EC0" w:rsidRPr="001D50E3" w:rsidTr="00754C28">
        <w:tc>
          <w:tcPr>
            <w:tcW w:w="5920" w:type="dxa"/>
            <w:tcBorders>
              <w:top w:val="single" w:sz="4" w:space="0" w:color="auto"/>
              <w:left w:val="single" w:sz="4" w:space="0" w:color="auto"/>
              <w:bottom w:val="single" w:sz="4" w:space="0" w:color="auto"/>
              <w:right w:val="single" w:sz="4" w:space="0" w:color="auto"/>
            </w:tcBorders>
            <w:hideMark/>
          </w:tcPr>
          <w:p w:rsidR="00FF2EC0" w:rsidRPr="001D50E3" w:rsidRDefault="00FF2EC0" w:rsidP="008768C7">
            <w:pPr>
              <w:spacing w:before="240" w:after="240" w:line="276" w:lineRule="auto"/>
              <w:jc w:val="both"/>
              <w:rPr>
                <w:rFonts w:ascii="Arial" w:eastAsia="Times New Roman" w:hAnsi="Arial" w:cs="Arial"/>
                <w:b/>
                <w:bCs/>
                <w:i/>
                <w:noProof/>
              </w:rPr>
            </w:pPr>
            <w:r w:rsidRPr="001D50E3">
              <w:rPr>
                <w:rFonts w:ascii="Arial" w:eastAsia="Times New Roman" w:hAnsi="Arial" w:cs="Arial"/>
                <w:b/>
                <w:bCs/>
                <w:i/>
                <w:noProof/>
              </w:rPr>
              <w:t>Nga hyrja, programi do të përdorë kompensimin e kontributit të Bashkimit në bazë të financimit të koeficientit që nuk është i lidhur me shpenzimet e anëtarit 89 nga RZO.</w:t>
            </w:r>
          </w:p>
        </w:tc>
        <w:tc>
          <w:tcPr>
            <w:tcW w:w="1701" w:type="dxa"/>
            <w:tcBorders>
              <w:top w:val="single" w:sz="4" w:space="0" w:color="auto"/>
              <w:left w:val="single" w:sz="4" w:space="0" w:color="auto"/>
              <w:bottom w:val="single" w:sz="4" w:space="0" w:color="auto"/>
              <w:right w:val="single" w:sz="4" w:space="0" w:color="auto"/>
            </w:tcBorders>
            <w:hideMark/>
          </w:tcPr>
          <w:p w:rsidR="00FF2EC0" w:rsidRPr="001D50E3" w:rsidRDefault="00FF2EC0" w:rsidP="008768C7">
            <w:pPr>
              <w:spacing w:before="120" w:line="276" w:lineRule="auto"/>
              <w:jc w:val="both"/>
              <w:rPr>
                <w:rFonts w:ascii="Arial" w:eastAsia="Calibri" w:hAnsi="Arial" w:cs="Arial"/>
                <w:b/>
                <w:bCs/>
                <w:noProof/>
              </w:rPr>
            </w:pPr>
            <w:r w:rsidRPr="001D50E3">
              <w:rPr>
                <w:rFonts w:ascii="Arial" w:eastAsia="Calibri" w:hAnsi="Arial" w:cs="Arial"/>
                <w:b/>
                <w:bCs/>
                <w:noProof/>
              </w:rPr>
              <w:fldChar w:fldCharType="begin">
                <w:ffData>
                  <w:name w:val="Check2"/>
                  <w:enabled/>
                  <w:calcOnExit w:val="0"/>
                  <w:checkBox>
                    <w:sizeAuto/>
                    <w:default w:val="0"/>
                  </w:checkBox>
                </w:ffData>
              </w:fldChar>
            </w:r>
            <w:r w:rsidRPr="001D50E3">
              <w:rPr>
                <w:rFonts w:ascii="Arial" w:eastAsia="Calibri" w:hAnsi="Arial" w:cs="Arial"/>
                <w:b/>
                <w:bCs/>
                <w:noProof/>
              </w:rPr>
              <w:instrText xml:space="preserve"> FORMCHECKBOX </w:instrText>
            </w:r>
            <w:r w:rsidR="00D747ED">
              <w:rPr>
                <w:rFonts w:ascii="Arial" w:eastAsia="Calibri" w:hAnsi="Arial" w:cs="Arial"/>
                <w:b/>
                <w:bCs/>
                <w:noProof/>
              </w:rPr>
            </w:r>
            <w:r w:rsidR="00D747ED">
              <w:rPr>
                <w:rFonts w:ascii="Arial" w:eastAsia="Calibri" w:hAnsi="Arial" w:cs="Arial"/>
                <w:b/>
                <w:bCs/>
                <w:noProof/>
              </w:rPr>
              <w:fldChar w:fldCharType="separate"/>
            </w:r>
            <w:r w:rsidRPr="001D50E3">
              <w:rPr>
                <w:rFonts w:ascii="Arial" w:eastAsia="Calibri" w:hAnsi="Arial" w:cs="Arial"/>
                <w:b/>
                <w:bCs/>
                <w:noProof/>
              </w:rPr>
              <w:fldChar w:fldCharType="end"/>
            </w:r>
          </w:p>
        </w:tc>
        <w:tc>
          <w:tcPr>
            <w:tcW w:w="1701" w:type="dxa"/>
            <w:tcBorders>
              <w:top w:val="single" w:sz="4" w:space="0" w:color="auto"/>
              <w:left w:val="single" w:sz="4" w:space="0" w:color="auto"/>
              <w:bottom w:val="single" w:sz="4" w:space="0" w:color="auto"/>
              <w:right w:val="single" w:sz="4" w:space="0" w:color="auto"/>
            </w:tcBorders>
            <w:hideMark/>
          </w:tcPr>
          <w:p w:rsidR="00FF2EC0" w:rsidRPr="001D50E3" w:rsidRDefault="00FF2EC0" w:rsidP="008768C7">
            <w:pPr>
              <w:spacing w:before="120" w:line="276" w:lineRule="auto"/>
              <w:jc w:val="both"/>
              <w:rPr>
                <w:rFonts w:ascii="Arial" w:eastAsia="Calibri" w:hAnsi="Arial" w:cs="Arial"/>
                <w:b/>
                <w:bCs/>
                <w:noProof/>
              </w:rPr>
            </w:pPr>
            <w:r w:rsidRPr="001D50E3">
              <w:rPr>
                <w:rFonts w:ascii="Arial" w:eastAsia="Calibri" w:hAnsi="Arial" w:cs="Arial"/>
                <w:b/>
                <w:bCs/>
                <w:noProof/>
              </w:rPr>
              <w:fldChar w:fldCharType="begin">
                <w:ffData>
                  <w:name w:val="Check2"/>
                  <w:enabled/>
                  <w:calcOnExit w:val="0"/>
                  <w:checkBox>
                    <w:sizeAuto/>
                    <w:default w:val="0"/>
                  </w:checkBox>
                </w:ffData>
              </w:fldChar>
            </w:r>
            <w:r w:rsidRPr="001D50E3">
              <w:rPr>
                <w:rFonts w:ascii="Arial" w:eastAsia="Calibri" w:hAnsi="Arial" w:cs="Arial"/>
                <w:b/>
                <w:bCs/>
                <w:noProof/>
              </w:rPr>
              <w:instrText xml:space="preserve"> FORMCHECKBOX </w:instrText>
            </w:r>
            <w:r w:rsidR="00D747ED">
              <w:rPr>
                <w:rFonts w:ascii="Arial" w:eastAsia="Calibri" w:hAnsi="Arial" w:cs="Arial"/>
                <w:b/>
                <w:bCs/>
                <w:noProof/>
              </w:rPr>
            </w:r>
            <w:r w:rsidR="00D747ED">
              <w:rPr>
                <w:rFonts w:ascii="Arial" w:eastAsia="Calibri" w:hAnsi="Arial" w:cs="Arial"/>
                <w:b/>
                <w:bCs/>
                <w:noProof/>
              </w:rPr>
              <w:fldChar w:fldCharType="separate"/>
            </w:r>
            <w:r w:rsidRPr="001D50E3">
              <w:rPr>
                <w:rFonts w:ascii="Arial" w:eastAsia="Calibri" w:hAnsi="Arial" w:cs="Arial"/>
                <w:b/>
                <w:bCs/>
                <w:noProof/>
              </w:rPr>
              <w:fldChar w:fldCharType="end"/>
            </w:r>
          </w:p>
        </w:tc>
      </w:tr>
    </w:tbl>
    <w:p w:rsidR="00FF2EC0" w:rsidRPr="001D50E3" w:rsidRDefault="00FF2EC0" w:rsidP="008768C7">
      <w:pPr>
        <w:spacing w:before="240" w:after="240" w:line="276" w:lineRule="auto"/>
        <w:jc w:val="both"/>
        <w:rPr>
          <w:rFonts w:ascii="Arial" w:hAnsi="Arial" w:cs="Arial"/>
          <w:lang w:val="mk-MK"/>
        </w:rPr>
      </w:pPr>
    </w:p>
    <w:p w:rsidR="00FF2EC0" w:rsidRPr="001D50E3" w:rsidRDefault="00FF2EC0" w:rsidP="008768C7">
      <w:pPr>
        <w:spacing w:line="276" w:lineRule="auto"/>
        <w:rPr>
          <w:rFonts w:ascii="Arial" w:hAnsi="Arial" w:cs="Arial"/>
          <w:lang w:val="sq-AL"/>
        </w:rPr>
      </w:pPr>
    </w:p>
    <w:p w:rsidR="00FF2EC0" w:rsidRPr="001D50E3" w:rsidRDefault="00FF2EC0" w:rsidP="008768C7">
      <w:pPr>
        <w:spacing w:line="276" w:lineRule="auto"/>
        <w:jc w:val="both"/>
        <w:rPr>
          <w:rFonts w:ascii="Arial" w:hAnsi="Arial" w:cs="Arial"/>
        </w:rPr>
      </w:pPr>
    </w:p>
    <w:sectPr w:rsidR="00FF2EC0" w:rsidRPr="001D50E3" w:rsidSect="00754C28">
      <w:pgSz w:w="12240" w:h="15840"/>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47ED" w:rsidRDefault="00D747ED" w:rsidP="007002D1">
      <w:pPr>
        <w:spacing w:after="0" w:line="240" w:lineRule="auto"/>
      </w:pPr>
      <w:r>
        <w:separator/>
      </w:r>
    </w:p>
  </w:endnote>
  <w:endnote w:type="continuationSeparator" w:id="0">
    <w:p w:rsidR="00D747ED" w:rsidRDefault="00D747ED" w:rsidP="007002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47ED" w:rsidRDefault="00D747ED" w:rsidP="007002D1">
      <w:pPr>
        <w:spacing w:after="0" w:line="240" w:lineRule="auto"/>
      </w:pPr>
      <w:r>
        <w:separator/>
      </w:r>
    </w:p>
  </w:footnote>
  <w:footnote w:type="continuationSeparator" w:id="0">
    <w:p w:rsidR="00D747ED" w:rsidRDefault="00D747ED" w:rsidP="007002D1">
      <w:pPr>
        <w:spacing w:after="0" w:line="240" w:lineRule="auto"/>
      </w:pPr>
      <w:r>
        <w:continuationSeparator/>
      </w:r>
    </w:p>
  </w:footnote>
  <w:footnote w:id="1">
    <w:p w:rsidR="00754C28" w:rsidRPr="001D50E3" w:rsidRDefault="00754C28" w:rsidP="00FF2EC0">
      <w:pPr>
        <w:pStyle w:val="FootnoteText"/>
        <w:rPr>
          <w:rFonts w:ascii="Arial" w:hAnsi="Arial" w:cs="Arial"/>
          <w:lang w:val="sq-AL"/>
        </w:rPr>
      </w:pPr>
    </w:p>
  </w:footnote>
  <w:footnote w:id="2">
    <w:p w:rsidR="00754C28" w:rsidRPr="001D50E3" w:rsidRDefault="00754C28" w:rsidP="00FF2EC0">
      <w:pPr>
        <w:pStyle w:val="FootnoteText"/>
        <w:rPr>
          <w:rFonts w:ascii="Arial" w:hAnsi="Arial" w:cs="Arial"/>
          <w:lang w:val="sq-AL"/>
        </w:rPr>
      </w:pPr>
    </w:p>
  </w:footnote>
  <w:footnote w:id="3">
    <w:p w:rsidR="00754C28" w:rsidRPr="001D50E3" w:rsidRDefault="00754C28" w:rsidP="00FF2EC0">
      <w:pPr>
        <w:rPr>
          <w:rFonts w:ascii="Arial" w:hAnsi="Arial" w:cs="Arial"/>
          <w:u w:val="single"/>
          <w:lang w:val="sq-AL"/>
        </w:rPr>
      </w:pPr>
      <w:r w:rsidRPr="001D50E3">
        <w:rPr>
          <w:rFonts w:ascii="Arial" w:hAnsi="Arial" w:cs="Arial"/>
          <w:u w:val="single"/>
          <w:lang w:val="sq-AL"/>
        </w:rPr>
        <w:t xml:space="preserve">4  Interreg B dhe C. </w:t>
      </w:r>
    </w:p>
    <w:p w:rsidR="00754C28" w:rsidRPr="001D50E3" w:rsidRDefault="00754C28" w:rsidP="00FF2EC0">
      <w:pPr>
        <w:rPr>
          <w:rFonts w:ascii="Arial" w:hAnsi="Arial" w:cs="Arial"/>
          <w:u w:val="single"/>
          <w:lang w:val="sq-AL"/>
        </w:rPr>
      </w:pPr>
      <w:r w:rsidRPr="001D50E3">
        <w:rPr>
          <w:rFonts w:ascii="Arial" w:hAnsi="Arial" w:cs="Arial"/>
          <w:u w:val="single"/>
          <w:lang w:val="sq-AL"/>
        </w:rPr>
        <w:t>5  Interreg B dhe C. dhe D.</w:t>
      </w:r>
    </w:p>
    <w:p w:rsidR="00754C28" w:rsidRPr="001D50E3" w:rsidRDefault="00754C28" w:rsidP="00FF2EC0">
      <w:pPr>
        <w:pStyle w:val="FootnoteText"/>
        <w:rPr>
          <w:rFonts w:ascii="Arial" w:hAnsi="Arial" w:cs="Arial"/>
          <w:lang w:val="sq-AL"/>
        </w:rPr>
      </w:pPr>
    </w:p>
  </w:footnote>
  <w:footnote w:id="4">
    <w:p w:rsidR="00754C28" w:rsidRPr="001D50E3" w:rsidRDefault="00754C28" w:rsidP="00FF2EC0">
      <w:pPr>
        <w:pStyle w:val="FootnoteText"/>
        <w:rPr>
          <w:rFonts w:ascii="Arial" w:hAnsi="Arial" w:cs="Arial"/>
          <w:lang w:val="sq-AL"/>
        </w:rPr>
      </w:pPr>
    </w:p>
    <w:p w:rsidR="00754C28" w:rsidRPr="001D50E3" w:rsidRDefault="00754C28" w:rsidP="00FF2EC0">
      <w:pPr>
        <w:pStyle w:val="FootnoteText"/>
        <w:rPr>
          <w:rFonts w:ascii="Arial" w:hAnsi="Arial" w:cs="Arial"/>
          <w:b/>
          <w:lang w:val="sq-AL"/>
        </w:rPr>
      </w:pPr>
      <w:r w:rsidRPr="001D50E3">
        <w:rPr>
          <w:rFonts w:ascii="Arial" w:hAnsi="Arial" w:cs="Arial"/>
          <w:b/>
          <w:lang w:val="sq-AL"/>
        </w:rPr>
        <w:t>3.2 Mjete Financiare sipas fondeve dhe bashkëfinancimi kombëtar</w:t>
      </w:r>
    </w:p>
    <w:p w:rsidR="00754C28" w:rsidRPr="001D50E3" w:rsidRDefault="00754C28" w:rsidP="00FF2EC0">
      <w:pPr>
        <w:pStyle w:val="FootnoteText"/>
        <w:rPr>
          <w:rFonts w:ascii="Arial" w:hAnsi="Arial" w:cs="Arial"/>
          <w:lang w:val="sq-AL"/>
        </w:rPr>
      </w:pPr>
      <w:r w:rsidRPr="001D50E3">
        <w:rPr>
          <w:rFonts w:ascii="Arial" w:hAnsi="Arial" w:cs="Arial"/>
          <w:lang w:val="sq-AL"/>
        </w:rPr>
        <w:t>Referenca: pika (f) (ii) e nenit 17, pika (a) - (d) e nenit 17 (4)</w:t>
      </w:r>
    </w:p>
    <w:p w:rsidR="00754C28" w:rsidRPr="001D50E3" w:rsidRDefault="00754C28" w:rsidP="00FF2EC0">
      <w:pPr>
        <w:pStyle w:val="FootnoteText"/>
        <w:rPr>
          <w:rFonts w:ascii="Arial" w:hAnsi="Arial" w:cs="Arial"/>
          <w:lang w:val="sq-AL"/>
        </w:rPr>
      </w:pPr>
    </w:p>
    <w:p w:rsidR="00754C28" w:rsidRPr="001D50E3" w:rsidRDefault="00754C28" w:rsidP="00FF2EC0">
      <w:pPr>
        <w:pStyle w:val="FootnoteText"/>
        <w:rPr>
          <w:rFonts w:ascii="Arial" w:hAnsi="Arial" w:cs="Arial"/>
          <w:lang w:val="sq-AL"/>
        </w:rPr>
      </w:pPr>
    </w:p>
    <w:p w:rsidR="00754C28" w:rsidRPr="001D50E3" w:rsidRDefault="00754C28" w:rsidP="00FF2EC0">
      <w:pPr>
        <w:pStyle w:val="FootnoteText"/>
        <w:rPr>
          <w:rFonts w:ascii="Arial" w:hAnsi="Arial" w:cs="Arial"/>
          <w:lang w:val="sq-AL"/>
        </w:rPr>
      </w:pPr>
      <w:r w:rsidRPr="001D50E3">
        <w:rPr>
          <w:rFonts w:ascii="Arial" w:hAnsi="Arial" w:cs="Arial"/>
          <w:lang w:val="sq-AL"/>
        </w:rPr>
        <w:t>Tabela 8</w:t>
      </w:r>
    </w:p>
    <w:p w:rsidR="00754C28" w:rsidRPr="001D50E3" w:rsidRDefault="00754C28" w:rsidP="00FF2EC0">
      <w:pPr>
        <w:pStyle w:val="FootnoteText"/>
        <w:rPr>
          <w:rFonts w:ascii="Arial" w:hAnsi="Arial" w:cs="Arial"/>
          <w:lang w:val="sq-AL"/>
        </w:rPr>
      </w:pPr>
    </w:p>
    <w:tbl>
      <w:tblPr>
        <w:tblStyle w:val="TableGrid13"/>
        <w:tblW w:w="6200" w:type="pct"/>
        <w:jc w:val="center"/>
        <w:tblLook w:val="04A0" w:firstRow="1" w:lastRow="0" w:firstColumn="1" w:lastColumn="0" w:noHBand="0" w:noVBand="1"/>
      </w:tblPr>
      <w:tblGrid>
        <w:gridCol w:w="1103"/>
        <w:gridCol w:w="1106"/>
        <w:gridCol w:w="822"/>
        <w:gridCol w:w="1168"/>
        <w:gridCol w:w="1168"/>
        <w:gridCol w:w="792"/>
        <w:gridCol w:w="792"/>
        <w:gridCol w:w="981"/>
        <w:gridCol w:w="883"/>
        <w:gridCol w:w="883"/>
        <w:gridCol w:w="990"/>
        <w:gridCol w:w="1186"/>
      </w:tblGrid>
      <w:tr w:rsidR="00754C28" w:rsidRPr="001D50E3" w:rsidTr="00754C28">
        <w:trPr>
          <w:jc w:val="center"/>
        </w:trPr>
        <w:tc>
          <w:tcPr>
            <w:tcW w:w="542" w:type="pct"/>
            <w:vMerge w:val="restart"/>
            <w:tcBorders>
              <w:top w:val="single" w:sz="4" w:space="0" w:color="auto"/>
              <w:left w:val="single" w:sz="4" w:space="0" w:color="auto"/>
              <w:bottom w:val="single" w:sz="4" w:space="0" w:color="auto"/>
              <w:right w:val="single" w:sz="4" w:space="0" w:color="auto"/>
            </w:tcBorders>
            <w:hideMark/>
          </w:tcPr>
          <w:p w:rsidR="00754C28" w:rsidRPr="001D50E3" w:rsidRDefault="00754C28" w:rsidP="008768C7">
            <w:pPr>
              <w:spacing w:after="60" w:line="276" w:lineRule="auto"/>
              <w:rPr>
                <w:rFonts w:ascii="Arial" w:eastAsia="Calibri" w:hAnsi="Arial" w:cs="Arial"/>
                <w:b/>
                <w:i/>
                <w:noProof/>
                <w:sz w:val="16"/>
                <w:szCs w:val="16"/>
                <w:lang w:val="mk-MK"/>
              </w:rPr>
            </w:pPr>
            <w:r w:rsidRPr="001D50E3">
              <w:rPr>
                <w:rFonts w:ascii="Arial" w:eastAsia="Calibri" w:hAnsi="Arial" w:cs="Arial"/>
                <w:b/>
                <w:i/>
                <w:noProof/>
                <w:sz w:val="16"/>
                <w:szCs w:val="16"/>
                <w:lang w:val="mk-MK"/>
              </w:rPr>
              <w:t>Qëllimi i politikës nr. ose Asistencë Teknike – AT</w:t>
            </w:r>
          </w:p>
        </w:tc>
        <w:tc>
          <w:tcPr>
            <w:tcW w:w="543" w:type="pct"/>
            <w:vMerge w:val="restart"/>
            <w:tcBorders>
              <w:top w:val="single" w:sz="4" w:space="0" w:color="auto"/>
              <w:left w:val="single" w:sz="4" w:space="0" w:color="auto"/>
              <w:bottom w:val="single" w:sz="4" w:space="0" w:color="auto"/>
              <w:right w:val="single" w:sz="4" w:space="0" w:color="auto"/>
            </w:tcBorders>
            <w:hideMark/>
          </w:tcPr>
          <w:p w:rsidR="00754C28" w:rsidRPr="001D50E3" w:rsidRDefault="00754C28" w:rsidP="008768C7">
            <w:pPr>
              <w:spacing w:after="60" w:line="276" w:lineRule="auto"/>
              <w:rPr>
                <w:rFonts w:ascii="Arial" w:eastAsia="Calibri" w:hAnsi="Arial" w:cs="Arial"/>
                <w:b/>
                <w:i/>
                <w:noProof/>
                <w:sz w:val="16"/>
                <w:szCs w:val="16"/>
                <w:lang w:val="sq-AL"/>
              </w:rPr>
            </w:pPr>
            <w:r w:rsidRPr="001D50E3">
              <w:rPr>
                <w:rFonts w:ascii="Arial" w:eastAsia="Calibri" w:hAnsi="Arial" w:cs="Arial"/>
                <w:b/>
                <w:i/>
                <w:noProof/>
                <w:sz w:val="16"/>
                <w:szCs w:val="16"/>
                <w:lang w:val="sq-AL"/>
              </w:rPr>
              <w:t>Prioritet</w:t>
            </w:r>
          </w:p>
        </w:tc>
        <w:tc>
          <w:tcPr>
            <w:tcW w:w="426" w:type="pct"/>
            <w:vMerge w:val="restart"/>
            <w:tcBorders>
              <w:top w:val="single" w:sz="4" w:space="0" w:color="auto"/>
              <w:left w:val="single" w:sz="4" w:space="0" w:color="auto"/>
              <w:bottom w:val="single" w:sz="4" w:space="0" w:color="auto"/>
              <w:right w:val="single" w:sz="4" w:space="0" w:color="auto"/>
            </w:tcBorders>
            <w:hideMark/>
          </w:tcPr>
          <w:p w:rsidR="00754C28" w:rsidRPr="001D50E3" w:rsidRDefault="00754C28" w:rsidP="008768C7">
            <w:pPr>
              <w:spacing w:after="60" w:line="276" w:lineRule="auto"/>
              <w:rPr>
                <w:rFonts w:ascii="Arial" w:eastAsia="Calibri" w:hAnsi="Arial" w:cs="Arial"/>
                <w:b/>
                <w:i/>
                <w:noProof/>
                <w:sz w:val="16"/>
                <w:szCs w:val="16"/>
                <w:lang w:val="sq-AL"/>
              </w:rPr>
            </w:pPr>
            <w:r w:rsidRPr="001D50E3">
              <w:rPr>
                <w:rFonts w:ascii="Arial" w:eastAsia="Calibri" w:hAnsi="Arial" w:cs="Arial"/>
                <w:b/>
                <w:i/>
                <w:noProof/>
                <w:sz w:val="16"/>
                <w:szCs w:val="16"/>
                <w:lang w:val="sq-AL"/>
              </w:rPr>
              <w:t>Fond</w:t>
            </w:r>
          </w:p>
          <w:p w:rsidR="00754C28" w:rsidRPr="001D50E3" w:rsidRDefault="00754C28" w:rsidP="008768C7">
            <w:pPr>
              <w:spacing w:after="60" w:line="276" w:lineRule="auto"/>
              <w:rPr>
                <w:rFonts w:ascii="Arial" w:eastAsia="Calibri" w:hAnsi="Arial" w:cs="Arial"/>
                <w:b/>
                <w:i/>
                <w:noProof/>
                <w:sz w:val="16"/>
                <w:szCs w:val="16"/>
              </w:rPr>
            </w:pPr>
            <w:r w:rsidRPr="001D50E3">
              <w:rPr>
                <w:rFonts w:ascii="Arial" w:eastAsia="Calibri" w:hAnsi="Arial" w:cs="Arial"/>
                <w:b/>
                <w:i/>
                <w:noProof/>
                <w:sz w:val="16"/>
                <w:szCs w:val="16"/>
              </w:rPr>
              <w:t>(siç është marrë)</w:t>
            </w:r>
          </w:p>
        </w:tc>
        <w:tc>
          <w:tcPr>
            <w:tcW w:w="504" w:type="pct"/>
            <w:vMerge w:val="restart"/>
            <w:tcBorders>
              <w:top w:val="single" w:sz="4" w:space="0" w:color="auto"/>
              <w:left w:val="single" w:sz="4" w:space="0" w:color="auto"/>
              <w:bottom w:val="single" w:sz="4" w:space="0" w:color="auto"/>
              <w:right w:val="single" w:sz="4" w:space="0" w:color="auto"/>
            </w:tcBorders>
            <w:hideMark/>
          </w:tcPr>
          <w:p w:rsidR="00754C28" w:rsidRPr="001D50E3" w:rsidRDefault="00754C28" w:rsidP="008768C7">
            <w:pPr>
              <w:spacing w:after="60" w:line="276" w:lineRule="auto"/>
              <w:rPr>
                <w:rFonts w:ascii="Arial" w:eastAsia="Calibri" w:hAnsi="Arial" w:cs="Arial"/>
                <w:b/>
                <w:i/>
                <w:noProof/>
                <w:sz w:val="16"/>
                <w:szCs w:val="16"/>
                <w:lang w:val="mk-MK"/>
              </w:rPr>
            </w:pPr>
            <w:r w:rsidRPr="001D50E3">
              <w:rPr>
                <w:rFonts w:ascii="Arial" w:eastAsia="Calibri" w:hAnsi="Arial" w:cs="Arial"/>
                <w:b/>
                <w:i/>
                <w:noProof/>
                <w:sz w:val="16"/>
                <w:szCs w:val="16"/>
                <w:lang w:val="mk-MK"/>
              </w:rPr>
              <w:t>Baza për llogaritjen e mbështetjes së BE-së (kostot totale të pranueshme ose kontributi publik</w:t>
            </w:r>
          </w:p>
        </w:tc>
        <w:tc>
          <w:tcPr>
            <w:tcW w:w="349" w:type="pct"/>
            <w:vMerge w:val="restart"/>
            <w:tcBorders>
              <w:top w:val="single" w:sz="4" w:space="0" w:color="auto"/>
              <w:left w:val="single" w:sz="4" w:space="0" w:color="auto"/>
              <w:bottom w:val="single" w:sz="4" w:space="0" w:color="auto"/>
              <w:right w:val="single" w:sz="4" w:space="0" w:color="auto"/>
            </w:tcBorders>
          </w:tcPr>
          <w:p w:rsidR="00754C28" w:rsidRPr="001D50E3" w:rsidRDefault="00754C28" w:rsidP="008768C7">
            <w:pPr>
              <w:spacing w:after="60" w:line="276" w:lineRule="auto"/>
              <w:rPr>
                <w:rFonts w:ascii="Arial" w:eastAsia="Calibri" w:hAnsi="Arial" w:cs="Arial"/>
                <w:i/>
                <w:noProof/>
                <w:sz w:val="16"/>
                <w:szCs w:val="16"/>
                <w:lang w:val="fr-BE"/>
              </w:rPr>
            </w:pPr>
            <w:r w:rsidRPr="001D50E3">
              <w:rPr>
                <w:rFonts w:ascii="Arial" w:eastAsia="Calibri" w:hAnsi="Arial" w:cs="Arial"/>
                <w:i/>
                <w:noProof/>
                <w:sz w:val="16"/>
                <w:szCs w:val="16"/>
                <w:lang w:val="fr-BE"/>
              </w:rPr>
              <w:t xml:space="preserve"> Kontributi i BE-së (a)=(a1)+(a2)</w:t>
            </w:r>
          </w:p>
          <w:p w:rsidR="00754C28" w:rsidRPr="001D50E3" w:rsidRDefault="00754C28" w:rsidP="008768C7">
            <w:pPr>
              <w:spacing w:after="60" w:line="276" w:lineRule="auto"/>
              <w:rPr>
                <w:rFonts w:ascii="Arial" w:eastAsia="Calibri" w:hAnsi="Arial" w:cs="Arial"/>
                <w:b/>
                <w:i/>
                <w:noProof/>
                <w:sz w:val="16"/>
                <w:szCs w:val="16"/>
                <w:lang w:val="fr-BE"/>
              </w:rPr>
            </w:pPr>
          </w:p>
        </w:tc>
        <w:tc>
          <w:tcPr>
            <w:tcW w:w="659" w:type="pct"/>
            <w:gridSpan w:val="2"/>
            <w:tcBorders>
              <w:top w:val="single" w:sz="4" w:space="0" w:color="auto"/>
              <w:left w:val="single" w:sz="4" w:space="0" w:color="auto"/>
              <w:bottom w:val="single" w:sz="4" w:space="0" w:color="auto"/>
              <w:right w:val="single" w:sz="4" w:space="0" w:color="auto"/>
            </w:tcBorders>
            <w:hideMark/>
          </w:tcPr>
          <w:p w:rsidR="00754C28" w:rsidRPr="001D50E3" w:rsidRDefault="00754C28" w:rsidP="008768C7">
            <w:pPr>
              <w:spacing w:after="60" w:line="276" w:lineRule="auto"/>
              <w:rPr>
                <w:rFonts w:ascii="Arial" w:eastAsia="Calibri" w:hAnsi="Arial" w:cs="Arial"/>
                <w:b/>
                <w:i/>
                <w:noProof/>
                <w:sz w:val="16"/>
                <w:szCs w:val="16"/>
                <w:lang w:val="en-IE"/>
              </w:rPr>
            </w:pPr>
            <w:r w:rsidRPr="001D50E3">
              <w:rPr>
                <w:rFonts w:ascii="Arial" w:eastAsia="Calibri" w:hAnsi="Arial" w:cs="Arial"/>
                <w:b/>
                <w:i/>
                <w:noProof/>
                <w:sz w:val="16"/>
                <w:szCs w:val="16"/>
                <w:lang w:val="en-IE"/>
              </w:rPr>
              <w:t>Pasqyrë indikative e kontributit të BE-së</w:t>
            </w:r>
          </w:p>
        </w:tc>
        <w:tc>
          <w:tcPr>
            <w:tcW w:w="349" w:type="pct"/>
            <w:vMerge w:val="restart"/>
            <w:tcBorders>
              <w:top w:val="single" w:sz="4" w:space="0" w:color="auto"/>
              <w:left w:val="single" w:sz="4" w:space="0" w:color="auto"/>
              <w:bottom w:val="single" w:sz="4" w:space="0" w:color="auto"/>
              <w:right w:val="single" w:sz="4" w:space="0" w:color="auto"/>
            </w:tcBorders>
            <w:hideMark/>
          </w:tcPr>
          <w:p w:rsidR="00754C28" w:rsidRPr="001D50E3" w:rsidRDefault="00754C28" w:rsidP="008768C7">
            <w:pPr>
              <w:spacing w:after="60" w:line="276" w:lineRule="auto"/>
              <w:rPr>
                <w:rFonts w:ascii="Arial" w:eastAsia="Calibri" w:hAnsi="Arial" w:cs="Arial"/>
                <w:b/>
                <w:i/>
                <w:noProof/>
                <w:sz w:val="16"/>
                <w:szCs w:val="16"/>
                <w:lang w:val="fr-BE"/>
              </w:rPr>
            </w:pPr>
            <w:r w:rsidRPr="001D50E3">
              <w:rPr>
                <w:rFonts w:ascii="Arial" w:eastAsia="Calibri" w:hAnsi="Arial" w:cs="Arial"/>
                <w:i/>
                <w:noProof/>
                <w:sz w:val="16"/>
                <w:szCs w:val="16"/>
                <w:lang w:val="fr-BE"/>
              </w:rPr>
              <w:t xml:space="preserve"> Kombet - kontribut online (b)=(c)+(d)</w:t>
            </w:r>
          </w:p>
        </w:tc>
        <w:tc>
          <w:tcPr>
            <w:tcW w:w="543" w:type="pct"/>
            <w:gridSpan w:val="2"/>
            <w:tcBorders>
              <w:top w:val="single" w:sz="4" w:space="0" w:color="auto"/>
              <w:left w:val="single" w:sz="4" w:space="0" w:color="auto"/>
              <w:bottom w:val="single" w:sz="4" w:space="0" w:color="auto"/>
              <w:right w:val="single" w:sz="4" w:space="0" w:color="auto"/>
            </w:tcBorders>
            <w:hideMark/>
          </w:tcPr>
          <w:p w:rsidR="00754C28" w:rsidRPr="001D50E3" w:rsidRDefault="00754C28" w:rsidP="008768C7">
            <w:pPr>
              <w:spacing w:after="60" w:line="276" w:lineRule="auto"/>
              <w:jc w:val="center"/>
              <w:rPr>
                <w:rFonts w:ascii="Arial" w:eastAsia="Calibri" w:hAnsi="Arial" w:cs="Arial"/>
                <w:b/>
                <w:i/>
                <w:noProof/>
                <w:sz w:val="16"/>
                <w:szCs w:val="16"/>
                <w:lang w:val="mk-MK"/>
              </w:rPr>
            </w:pPr>
            <w:r w:rsidRPr="001D50E3">
              <w:rPr>
                <w:rFonts w:ascii="Arial" w:eastAsia="Calibri" w:hAnsi="Arial" w:cs="Arial"/>
                <w:b/>
                <w:i/>
                <w:noProof/>
                <w:sz w:val="16"/>
                <w:szCs w:val="16"/>
                <w:lang w:val="mk-MK"/>
              </w:rPr>
              <w:t>Rishikim tregues i kopjes kombëtare</w:t>
            </w:r>
          </w:p>
        </w:tc>
        <w:tc>
          <w:tcPr>
            <w:tcW w:w="349" w:type="pct"/>
            <w:vMerge w:val="restart"/>
            <w:tcBorders>
              <w:top w:val="single" w:sz="4" w:space="0" w:color="auto"/>
              <w:left w:val="single" w:sz="4" w:space="0" w:color="auto"/>
              <w:bottom w:val="single" w:sz="4" w:space="0" w:color="auto"/>
              <w:right w:val="single" w:sz="4" w:space="0" w:color="auto"/>
            </w:tcBorders>
          </w:tcPr>
          <w:p w:rsidR="00754C28" w:rsidRPr="001D50E3" w:rsidRDefault="00754C28" w:rsidP="008768C7">
            <w:pPr>
              <w:spacing w:after="60" w:line="276" w:lineRule="auto"/>
              <w:rPr>
                <w:rFonts w:ascii="Arial" w:eastAsia="Calibri" w:hAnsi="Arial" w:cs="Arial"/>
                <w:b/>
                <w:i/>
                <w:noProof/>
                <w:sz w:val="16"/>
                <w:szCs w:val="16"/>
                <w:lang w:val="sq-AL"/>
              </w:rPr>
            </w:pPr>
            <w:r w:rsidRPr="001D50E3">
              <w:rPr>
                <w:rFonts w:ascii="Arial" w:eastAsia="Calibri" w:hAnsi="Arial" w:cs="Arial"/>
                <w:b/>
                <w:i/>
                <w:noProof/>
                <w:sz w:val="16"/>
                <w:szCs w:val="16"/>
                <w:lang w:val="sq-AL"/>
              </w:rPr>
              <w:t>Gjithsejt</w:t>
            </w:r>
          </w:p>
          <w:p w:rsidR="00754C28" w:rsidRPr="001D50E3" w:rsidRDefault="00754C28" w:rsidP="008768C7">
            <w:pPr>
              <w:spacing w:after="60" w:line="276" w:lineRule="auto"/>
              <w:rPr>
                <w:rFonts w:ascii="Arial" w:eastAsia="Calibri" w:hAnsi="Arial" w:cs="Arial"/>
                <w:i/>
                <w:noProof/>
                <w:sz w:val="16"/>
                <w:szCs w:val="16"/>
              </w:rPr>
            </w:pPr>
          </w:p>
          <w:p w:rsidR="00754C28" w:rsidRPr="001D50E3" w:rsidRDefault="00754C28" w:rsidP="008768C7">
            <w:pPr>
              <w:spacing w:after="60" w:line="276" w:lineRule="auto"/>
              <w:rPr>
                <w:rFonts w:ascii="Arial" w:eastAsia="Calibri" w:hAnsi="Arial" w:cs="Arial"/>
                <w:b/>
                <w:i/>
                <w:noProof/>
                <w:sz w:val="16"/>
                <w:szCs w:val="16"/>
              </w:rPr>
            </w:pPr>
            <w:r w:rsidRPr="001D50E3">
              <w:rPr>
                <w:rFonts w:ascii="Arial" w:eastAsia="Calibri" w:hAnsi="Arial" w:cs="Arial"/>
                <w:i/>
                <w:noProof/>
                <w:sz w:val="16"/>
                <w:szCs w:val="16"/>
              </w:rPr>
              <w:t>(e)=(a)+(b)</w:t>
            </w:r>
          </w:p>
        </w:tc>
        <w:tc>
          <w:tcPr>
            <w:tcW w:w="356" w:type="pct"/>
            <w:vMerge w:val="restart"/>
            <w:tcBorders>
              <w:top w:val="single" w:sz="4" w:space="0" w:color="auto"/>
              <w:left w:val="single" w:sz="4" w:space="0" w:color="auto"/>
              <w:bottom w:val="single" w:sz="4" w:space="0" w:color="auto"/>
              <w:right w:val="single" w:sz="4" w:space="0" w:color="auto"/>
            </w:tcBorders>
            <w:hideMark/>
          </w:tcPr>
          <w:p w:rsidR="00754C28" w:rsidRPr="001D50E3" w:rsidRDefault="00754C28" w:rsidP="008768C7">
            <w:pPr>
              <w:spacing w:after="60" w:line="276" w:lineRule="auto"/>
              <w:rPr>
                <w:rFonts w:ascii="Arial" w:eastAsia="Calibri" w:hAnsi="Arial" w:cs="Arial"/>
                <w:b/>
                <w:i/>
                <w:noProof/>
                <w:sz w:val="16"/>
                <w:szCs w:val="16"/>
              </w:rPr>
            </w:pPr>
            <w:r w:rsidRPr="001D50E3">
              <w:rPr>
                <w:rFonts w:ascii="Arial" w:eastAsia="Calibri" w:hAnsi="Arial" w:cs="Arial"/>
                <w:i/>
                <w:noProof/>
                <w:sz w:val="16"/>
                <w:szCs w:val="16"/>
              </w:rPr>
              <w:t xml:space="preserve"> Shkalla e koonfinaciimit (f)=(a)/(e)</w:t>
            </w:r>
          </w:p>
        </w:tc>
      </w:tr>
      <w:tr w:rsidR="00754C28" w:rsidRPr="001D50E3" w:rsidTr="00754C28">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54C28" w:rsidRPr="001D50E3" w:rsidRDefault="00754C28" w:rsidP="008768C7">
            <w:pPr>
              <w:spacing w:line="276" w:lineRule="auto"/>
              <w:rPr>
                <w:rFonts w:ascii="Arial" w:eastAsia="Calibri" w:hAnsi="Arial" w:cs="Arial"/>
                <w:b/>
                <w:i/>
                <w:noProof/>
                <w:sz w:val="16"/>
                <w:szCs w:val="16"/>
                <w:lang w:val="mk-MK"/>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54C28" w:rsidRPr="001D50E3" w:rsidRDefault="00754C28" w:rsidP="008768C7">
            <w:pPr>
              <w:spacing w:line="276" w:lineRule="auto"/>
              <w:rPr>
                <w:rFonts w:ascii="Arial" w:eastAsia="Calibri" w:hAnsi="Arial" w:cs="Arial"/>
                <w:b/>
                <w:i/>
                <w:noProof/>
                <w:sz w:val="16"/>
                <w:szCs w:val="16"/>
                <w:lang w:val="mk-MK"/>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54C28" w:rsidRPr="001D50E3" w:rsidRDefault="00754C28" w:rsidP="008768C7">
            <w:pPr>
              <w:spacing w:line="276" w:lineRule="auto"/>
              <w:rPr>
                <w:rFonts w:ascii="Arial" w:eastAsia="Calibri" w:hAnsi="Arial" w:cs="Arial"/>
                <w:b/>
                <w:i/>
                <w:noProof/>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54C28" w:rsidRPr="001D50E3" w:rsidRDefault="00754C28" w:rsidP="008768C7">
            <w:pPr>
              <w:spacing w:line="276" w:lineRule="auto"/>
              <w:rPr>
                <w:rFonts w:ascii="Arial" w:eastAsia="Calibri" w:hAnsi="Arial" w:cs="Arial"/>
                <w:b/>
                <w:i/>
                <w:noProof/>
                <w:sz w:val="16"/>
                <w:szCs w:val="16"/>
                <w:lang w:val="mk-MK"/>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54C28" w:rsidRPr="001D50E3" w:rsidRDefault="00754C28" w:rsidP="008768C7">
            <w:pPr>
              <w:spacing w:line="276" w:lineRule="auto"/>
              <w:rPr>
                <w:rFonts w:ascii="Arial" w:eastAsia="Calibri" w:hAnsi="Arial" w:cs="Arial"/>
                <w:b/>
                <w:i/>
                <w:noProof/>
                <w:sz w:val="16"/>
                <w:szCs w:val="16"/>
                <w:lang w:val="fr-BE"/>
              </w:rPr>
            </w:pPr>
          </w:p>
        </w:tc>
        <w:tc>
          <w:tcPr>
            <w:tcW w:w="349" w:type="pct"/>
            <w:tcBorders>
              <w:top w:val="single" w:sz="4" w:space="0" w:color="auto"/>
              <w:left w:val="single" w:sz="4" w:space="0" w:color="auto"/>
              <w:bottom w:val="single" w:sz="4" w:space="0" w:color="auto"/>
              <w:right w:val="single" w:sz="4" w:space="0" w:color="auto"/>
            </w:tcBorders>
            <w:hideMark/>
          </w:tcPr>
          <w:p w:rsidR="00754C28" w:rsidRPr="001D50E3" w:rsidRDefault="00754C28" w:rsidP="008768C7">
            <w:pPr>
              <w:spacing w:after="60" w:line="276" w:lineRule="auto"/>
              <w:rPr>
                <w:rFonts w:ascii="Arial" w:eastAsia="Calibri" w:hAnsi="Arial" w:cs="Arial"/>
                <w:b/>
                <w:sz w:val="14"/>
                <w:szCs w:val="14"/>
                <w:lang w:val="sq-AL"/>
              </w:rPr>
            </w:pPr>
            <w:r w:rsidRPr="001D50E3">
              <w:rPr>
                <w:rFonts w:ascii="Arial" w:eastAsia="Calibri" w:hAnsi="Arial" w:cs="Arial"/>
                <w:b/>
                <w:sz w:val="14"/>
                <w:szCs w:val="14"/>
                <w:lang w:val="sq-AL"/>
              </w:rPr>
              <w:t>Pa pëlqimin e AT-së Neni</w:t>
            </w:r>
          </w:p>
          <w:p w:rsidR="00754C28" w:rsidRPr="001D50E3" w:rsidRDefault="00754C28" w:rsidP="008768C7">
            <w:pPr>
              <w:spacing w:after="60" w:line="276" w:lineRule="auto"/>
              <w:rPr>
                <w:rFonts w:ascii="Arial" w:eastAsia="Calibri" w:hAnsi="Arial" w:cs="Arial"/>
                <w:b/>
                <w:sz w:val="14"/>
                <w:szCs w:val="14"/>
                <w:lang w:val="mk-MK"/>
              </w:rPr>
            </w:pPr>
            <w:r w:rsidRPr="001D50E3">
              <w:rPr>
                <w:rFonts w:ascii="Arial" w:eastAsia="Calibri" w:hAnsi="Arial" w:cs="Arial"/>
                <w:b/>
                <w:sz w:val="14"/>
                <w:szCs w:val="14"/>
              </w:rPr>
              <w:t xml:space="preserve">30(5) </w:t>
            </w:r>
            <w:r w:rsidRPr="001D50E3">
              <w:rPr>
                <w:rFonts w:ascii="Arial" w:eastAsia="Calibri" w:hAnsi="Arial" w:cs="Arial"/>
                <w:b/>
                <w:sz w:val="14"/>
                <w:szCs w:val="14"/>
                <w:lang w:val="mk-MK"/>
              </w:rPr>
              <w:t xml:space="preserve">– РЗО </w:t>
            </w:r>
          </w:p>
          <w:p w:rsidR="00754C28" w:rsidRPr="001D50E3" w:rsidRDefault="00754C28" w:rsidP="008768C7">
            <w:pPr>
              <w:spacing w:after="60" w:line="276" w:lineRule="auto"/>
              <w:rPr>
                <w:rFonts w:ascii="Arial" w:eastAsia="Calibri" w:hAnsi="Arial" w:cs="Arial"/>
                <w:b/>
                <w:i/>
                <w:noProof/>
                <w:sz w:val="16"/>
                <w:szCs w:val="16"/>
              </w:rPr>
            </w:pPr>
            <w:r w:rsidRPr="001D50E3">
              <w:rPr>
                <w:rFonts w:ascii="Arial" w:eastAsia="Calibri" w:hAnsi="Arial" w:cs="Arial"/>
                <w:b/>
                <w:sz w:val="14"/>
                <w:szCs w:val="14"/>
              </w:rPr>
              <w:t>(a1)</w:t>
            </w:r>
          </w:p>
        </w:tc>
        <w:tc>
          <w:tcPr>
            <w:tcW w:w="310" w:type="pct"/>
            <w:tcBorders>
              <w:top w:val="single" w:sz="4" w:space="0" w:color="auto"/>
              <w:left w:val="single" w:sz="4" w:space="0" w:color="auto"/>
              <w:bottom w:val="single" w:sz="4" w:space="0" w:color="auto"/>
              <w:right w:val="single" w:sz="4" w:space="0" w:color="auto"/>
            </w:tcBorders>
            <w:hideMark/>
          </w:tcPr>
          <w:p w:rsidR="00754C28" w:rsidRPr="001D50E3" w:rsidRDefault="00754C28" w:rsidP="008768C7">
            <w:pPr>
              <w:spacing w:after="60" w:line="276" w:lineRule="auto"/>
              <w:rPr>
                <w:rFonts w:ascii="Arial" w:eastAsia="Calibri" w:hAnsi="Arial" w:cs="Arial"/>
                <w:b/>
                <w:sz w:val="14"/>
                <w:szCs w:val="14"/>
                <w:lang w:val="mk-MK"/>
              </w:rPr>
            </w:pPr>
            <w:r w:rsidRPr="001D50E3">
              <w:rPr>
                <w:rFonts w:ascii="Arial" w:eastAsia="Calibri" w:hAnsi="Arial" w:cs="Arial"/>
                <w:b/>
                <w:sz w:val="14"/>
                <w:szCs w:val="14"/>
                <w:lang w:val="sq-AL"/>
              </w:rPr>
              <w:t xml:space="preserve">Per pëlqimin e AT-së Neni </w:t>
            </w:r>
            <w:r w:rsidRPr="001D50E3">
              <w:rPr>
                <w:rFonts w:ascii="Arial" w:eastAsia="Calibri" w:hAnsi="Arial" w:cs="Arial"/>
                <w:b/>
                <w:sz w:val="14"/>
                <w:szCs w:val="14"/>
              </w:rPr>
              <w:t xml:space="preserve">30(5) </w:t>
            </w:r>
            <w:r w:rsidRPr="001D50E3">
              <w:rPr>
                <w:rFonts w:ascii="Arial" w:eastAsia="Calibri" w:hAnsi="Arial" w:cs="Arial"/>
                <w:b/>
                <w:sz w:val="14"/>
                <w:szCs w:val="14"/>
                <w:lang w:val="mk-MK"/>
              </w:rPr>
              <w:t>РЗО</w:t>
            </w:r>
          </w:p>
          <w:p w:rsidR="00754C28" w:rsidRPr="001D50E3" w:rsidRDefault="00754C28" w:rsidP="008768C7">
            <w:pPr>
              <w:spacing w:after="60" w:line="276" w:lineRule="auto"/>
              <w:rPr>
                <w:rFonts w:ascii="Arial" w:eastAsia="Calibri" w:hAnsi="Arial" w:cs="Arial"/>
                <w:b/>
                <w:i/>
                <w:noProof/>
                <w:sz w:val="16"/>
                <w:szCs w:val="16"/>
              </w:rPr>
            </w:pPr>
            <w:r w:rsidRPr="001D50E3">
              <w:rPr>
                <w:rFonts w:ascii="Arial" w:eastAsia="Calibri" w:hAnsi="Arial" w:cs="Arial"/>
                <w:b/>
                <w:sz w:val="14"/>
                <w:szCs w:val="14"/>
              </w:rPr>
              <w:t>(a2)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54C28" w:rsidRPr="001D50E3" w:rsidRDefault="00754C28" w:rsidP="008768C7">
            <w:pPr>
              <w:spacing w:line="276" w:lineRule="auto"/>
              <w:rPr>
                <w:rFonts w:ascii="Arial" w:eastAsia="Calibri" w:hAnsi="Arial" w:cs="Arial"/>
                <w:b/>
                <w:i/>
                <w:noProof/>
                <w:sz w:val="16"/>
                <w:szCs w:val="16"/>
                <w:lang w:val="fr-BE"/>
              </w:rPr>
            </w:pPr>
          </w:p>
        </w:tc>
        <w:tc>
          <w:tcPr>
            <w:tcW w:w="271" w:type="pct"/>
            <w:tcBorders>
              <w:top w:val="single" w:sz="4" w:space="0" w:color="auto"/>
              <w:left w:val="single" w:sz="4" w:space="0" w:color="auto"/>
              <w:bottom w:val="single" w:sz="4" w:space="0" w:color="auto"/>
              <w:right w:val="single" w:sz="4" w:space="0" w:color="auto"/>
            </w:tcBorders>
            <w:hideMark/>
          </w:tcPr>
          <w:p w:rsidR="00754C28" w:rsidRPr="001D50E3" w:rsidRDefault="00754C28" w:rsidP="008768C7">
            <w:pPr>
              <w:spacing w:after="60" w:line="276" w:lineRule="auto"/>
              <w:rPr>
                <w:rFonts w:ascii="Arial" w:eastAsia="Calibri" w:hAnsi="Arial" w:cs="Arial"/>
                <w:b/>
                <w:i/>
                <w:noProof/>
                <w:sz w:val="16"/>
                <w:szCs w:val="16"/>
              </w:rPr>
            </w:pPr>
            <w:r w:rsidRPr="001D50E3">
              <w:rPr>
                <w:rFonts w:ascii="Arial" w:eastAsia="Calibri" w:hAnsi="Arial" w:cs="Arial"/>
                <w:i/>
                <w:noProof/>
                <w:sz w:val="16"/>
                <w:szCs w:val="16"/>
              </w:rPr>
              <w:t xml:space="preserve"> Publiku kombëtar (c)</w:t>
            </w:r>
          </w:p>
        </w:tc>
        <w:tc>
          <w:tcPr>
            <w:tcW w:w="272" w:type="pct"/>
            <w:tcBorders>
              <w:top w:val="single" w:sz="4" w:space="0" w:color="auto"/>
              <w:left w:val="single" w:sz="4" w:space="0" w:color="auto"/>
              <w:bottom w:val="single" w:sz="4" w:space="0" w:color="auto"/>
              <w:right w:val="single" w:sz="4" w:space="0" w:color="auto"/>
            </w:tcBorders>
            <w:hideMark/>
          </w:tcPr>
          <w:p w:rsidR="00754C28" w:rsidRPr="001D50E3" w:rsidRDefault="00754C28" w:rsidP="008768C7">
            <w:pPr>
              <w:spacing w:after="60" w:line="276" w:lineRule="auto"/>
              <w:rPr>
                <w:rFonts w:ascii="Arial" w:eastAsia="Calibri" w:hAnsi="Arial" w:cs="Arial"/>
                <w:b/>
                <w:i/>
                <w:noProof/>
                <w:sz w:val="16"/>
                <w:szCs w:val="16"/>
              </w:rPr>
            </w:pPr>
            <w:r w:rsidRPr="001D50E3">
              <w:rPr>
                <w:rFonts w:ascii="Arial" w:eastAsia="Calibri" w:hAnsi="Arial" w:cs="Arial"/>
                <w:i/>
                <w:noProof/>
                <w:sz w:val="16"/>
                <w:szCs w:val="16"/>
              </w:rPr>
              <w:t xml:space="preserve"> Në nivel kombëtar privat (d)</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54C28" w:rsidRPr="001D50E3" w:rsidRDefault="00754C28" w:rsidP="008768C7">
            <w:pPr>
              <w:spacing w:line="276" w:lineRule="auto"/>
              <w:rPr>
                <w:rFonts w:ascii="Arial" w:eastAsia="Calibri" w:hAnsi="Arial" w:cs="Arial"/>
                <w:b/>
                <w:i/>
                <w:noProof/>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54C28" w:rsidRPr="001D50E3" w:rsidRDefault="00754C28" w:rsidP="008768C7">
            <w:pPr>
              <w:spacing w:line="276" w:lineRule="auto"/>
              <w:rPr>
                <w:rFonts w:ascii="Arial" w:eastAsia="Calibri" w:hAnsi="Arial" w:cs="Arial"/>
                <w:b/>
                <w:i/>
                <w:noProof/>
                <w:sz w:val="16"/>
                <w:szCs w:val="16"/>
              </w:rPr>
            </w:pPr>
          </w:p>
        </w:tc>
      </w:tr>
      <w:tr w:rsidR="00754C28" w:rsidRPr="001D50E3" w:rsidTr="00754C28">
        <w:trPr>
          <w:jc w:val="center"/>
        </w:trPr>
        <w:tc>
          <w:tcPr>
            <w:tcW w:w="542" w:type="pct"/>
            <w:vMerge w:val="restart"/>
            <w:tcBorders>
              <w:top w:val="single" w:sz="4" w:space="0" w:color="auto"/>
              <w:left w:val="single" w:sz="4" w:space="0" w:color="auto"/>
              <w:bottom w:val="single" w:sz="4" w:space="0" w:color="auto"/>
              <w:right w:val="single" w:sz="4" w:space="0" w:color="auto"/>
            </w:tcBorders>
          </w:tcPr>
          <w:p w:rsidR="00754C28" w:rsidRPr="001D50E3" w:rsidRDefault="00754C28" w:rsidP="008768C7">
            <w:pPr>
              <w:spacing w:after="60" w:line="276" w:lineRule="auto"/>
              <w:rPr>
                <w:rFonts w:ascii="Arial" w:eastAsia="Calibri" w:hAnsi="Arial" w:cs="Arial"/>
                <w:i/>
                <w:noProof/>
                <w:sz w:val="16"/>
                <w:szCs w:val="16"/>
              </w:rPr>
            </w:pPr>
          </w:p>
        </w:tc>
        <w:tc>
          <w:tcPr>
            <w:tcW w:w="543" w:type="pct"/>
            <w:vMerge w:val="restart"/>
            <w:tcBorders>
              <w:top w:val="single" w:sz="4" w:space="0" w:color="auto"/>
              <w:left w:val="single" w:sz="4" w:space="0" w:color="auto"/>
              <w:bottom w:val="single" w:sz="4" w:space="0" w:color="auto"/>
              <w:right w:val="single" w:sz="4" w:space="0" w:color="auto"/>
            </w:tcBorders>
            <w:hideMark/>
          </w:tcPr>
          <w:p w:rsidR="00754C28" w:rsidRPr="001D50E3" w:rsidRDefault="00754C28" w:rsidP="008768C7">
            <w:pPr>
              <w:spacing w:after="60" w:line="276" w:lineRule="auto"/>
              <w:rPr>
                <w:rFonts w:ascii="Arial" w:eastAsia="Calibri" w:hAnsi="Arial" w:cs="Arial"/>
                <w:b/>
                <w:i/>
                <w:noProof/>
                <w:sz w:val="16"/>
                <w:szCs w:val="16"/>
              </w:rPr>
            </w:pPr>
            <w:r w:rsidRPr="001D50E3">
              <w:rPr>
                <w:rFonts w:ascii="Arial" w:eastAsia="Calibri" w:hAnsi="Arial" w:cs="Arial"/>
                <w:b/>
                <w:i/>
                <w:noProof/>
                <w:sz w:val="16"/>
                <w:szCs w:val="16"/>
                <w:lang w:val="sq-AL"/>
              </w:rPr>
              <w:t>Prioritet</w:t>
            </w:r>
            <w:r w:rsidRPr="001D50E3">
              <w:rPr>
                <w:rFonts w:ascii="Arial" w:eastAsia="Calibri" w:hAnsi="Arial" w:cs="Arial"/>
                <w:b/>
                <w:i/>
                <w:noProof/>
                <w:sz w:val="16"/>
                <w:szCs w:val="16"/>
              </w:rPr>
              <w:t>1</w:t>
            </w:r>
          </w:p>
        </w:tc>
        <w:tc>
          <w:tcPr>
            <w:tcW w:w="426" w:type="pct"/>
            <w:tcBorders>
              <w:top w:val="single" w:sz="4" w:space="0" w:color="auto"/>
              <w:left w:val="single" w:sz="4" w:space="0" w:color="auto"/>
              <w:bottom w:val="single" w:sz="4" w:space="0" w:color="auto"/>
              <w:right w:val="single" w:sz="4" w:space="0" w:color="auto"/>
            </w:tcBorders>
            <w:hideMark/>
          </w:tcPr>
          <w:p w:rsidR="00754C28" w:rsidRPr="001D50E3" w:rsidRDefault="00754C28" w:rsidP="008768C7">
            <w:pPr>
              <w:spacing w:after="160" w:line="276" w:lineRule="auto"/>
              <w:rPr>
                <w:rFonts w:ascii="Arial" w:eastAsia="Calibri" w:hAnsi="Arial" w:cs="Arial"/>
                <w:i/>
                <w:noProof/>
                <w:sz w:val="16"/>
                <w:szCs w:val="20"/>
              </w:rPr>
            </w:pPr>
            <w:r w:rsidRPr="001D50E3">
              <w:rPr>
                <w:rFonts w:ascii="Arial" w:eastAsia="Calibri" w:hAnsi="Arial" w:cs="Arial"/>
                <w:i/>
                <w:noProof/>
                <w:sz w:val="16"/>
                <w:szCs w:val="20"/>
                <w:lang w:val="mk-MK"/>
              </w:rPr>
              <w:t>ЕРФР</w:t>
            </w:r>
            <w:r w:rsidRPr="001D50E3">
              <w:rPr>
                <w:rFonts w:ascii="Arial" w:eastAsia="Calibri" w:hAnsi="Arial" w:cs="Arial"/>
                <w:b/>
                <w:bCs/>
                <w:i/>
                <w:strike/>
                <w:noProof/>
                <w:sz w:val="16"/>
                <w:szCs w:val="20"/>
                <w:lang w:val="mk-MK"/>
              </w:rPr>
              <w:t xml:space="preserve"> </w:t>
            </w:r>
          </w:p>
        </w:tc>
        <w:tc>
          <w:tcPr>
            <w:tcW w:w="504" w:type="pct"/>
            <w:tcBorders>
              <w:top w:val="single" w:sz="4" w:space="0" w:color="auto"/>
              <w:left w:val="single" w:sz="4" w:space="0" w:color="auto"/>
              <w:bottom w:val="single" w:sz="4" w:space="0" w:color="auto"/>
              <w:right w:val="single" w:sz="4" w:space="0" w:color="auto"/>
            </w:tcBorders>
            <w:vAlign w:val="bottom"/>
            <w:hideMark/>
          </w:tcPr>
          <w:p w:rsidR="00754C28" w:rsidRPr="001D50E3" w:rsidRDefault="00754C28" w:rsidP="008768C7">
            <w:pPr>
              <w:spacing w:after="60" w:line="276" w:lineRule="auto"/>
              <w:rPr>
                <w:rFonts w:ascii="Arial" w:eastAsia="Calibri" w:hAnsi="Arial" w:cs="Arial"/>
                <w:i/>
                <w:noProof/>
                <w:sz w:val="16"/>
                <w:szCs w:val="20"/>
              </w:rPr>
            </w:pPr>
            <w:r w:rsidRPr="001D50E3">
              <w:rPr>
                <w:rFonts w:ascii="Arial" w:eastAsia="Calibri" w:hAnsi="Arial" w:cs="Arial"/>
                <w:i/>
                <w:noProof/>
                <w:sz w:val="16"/>
                <w:szCs w:val="20"/>
              </w:rPr>
              <w:t>Kostot totale të pranueshme</w:t>
            </w:r>
          </w:p>
        </w:tc>
        <w:tc>
          <w:tcPr>
            <w:tcW w:w="349" w:type="pct"/>
            <w:tcBorders>
              <w:top w:val="single" w:sz="4" w:space="0" w:color="auto"/>
              <w:left w:val="nil"/>
              <w:bottom w:val="single" w:sz="4" w:space="0" w:color="auto"/>
              <w:right w:val="single" w:sz="4" w:space="0" w:color="auto"/>
            </w:tcBorders>
            <w:vAlign w:val="bottom"/>
            <w:hideMark/>
          </w:tcPr>
          <w:p w:rsidR="00754C28" w:rsidRPr="001D50E3" w:rsidRDefault="00754C28" w:rsidP="008768C7">
            <w:pPr>
              <w:spacing w:after="60" w:line="276" w:lineRule="auto"/>
              <w:rPr>
                <w:rFonts w:ascii="Arial" w:eastAsia="Calibri" w:hAnsi="Arial" w:cs="Arial"/>
                <w:i/>
                <w:noProof/>
                <w:sz w:val="16"/>
                <w:szCs w:val="20"/>
              </w:rPr>
            </w:pPr>
            <w:r w:rsidRPr="001D50E3">
              <w:rPr>
                <w:rFonts w:ascii="Arial" w:eastAsia="Calibri" w:hAnsi="Arial" w:cs="Arial"/>
                <w:i/>
                <w:noProof/>
                <w:sz w:val="16"/>
                <w:szCs w:val="20"/>
              </w:rPr>
              <w:t>2 152 808,16</w:t>
            </w:r>
          </w:p>
        </w:tc>
        <w:tc>
          <w:tcPr>
            <w:tcW w:w="349" w:type="pct"/>
            <w:tcBorders>
              <w:top w:val="single" w:sz="4" w:space="0" w:color="auto"/>
              <w:left w:val="nil"/>
              <w:bottom w:val="single" w:sz="4" w:space="0" w:color="auto"/>
              <w:right w:val="single" w:sz="4" w:space="0" w:color="auto"/>
            </w:tcBorders>
            <w:vAlign w:val="bottom"/>
            <w:hideMark/>
          </w:tcPr>
          <w:p w:rsidR="00754C28" w:rsidRPr="001D50E3" w:rsidRDefault="00754C28" w:rsidP="008768C7">
            <w:pPr>
              <w:spacing w:after="60" w:line="276" w:lineRule="auto"/>
              <w:rPr>
                <w:rFonts w:ascii="Arial" w:eastAsia="Calibri" w:hAnsi="Arial" w:cs="Arial"/>
                <w:i/>
                <w:noProof/>
                <w:sz w:val="16"/>
                <w:szCs w:val="20"/>
              </w:rPr>
            </w:pPr>
            <w:r w:rsidRPr="001D50E3">
              <w:rPr>
                <w:rFonts w:ascii="Arial" w:eastAsia="Calibri" w:hAnsi="Arial" w:cs="Arial"/>
                <w:i/>
                <w:noProof/>
                <w:sz w:val="16"/>
                <w:szCs w:val="20"/>
              </w:rPr>
              <w:t>1 957 098,33</w:t>
            </w:r>
          </w:p>
        </w:tc>
        <w:tc>
          <w:tcPr>
            <w:tcW w:w="310" w:type="pct"/>
            <w:tcBorders>
              <w:top w:val="single" w:sz="4" w:space="0" w:color="auto"/>
              <w:left w:val="nil"/>
              <w:bottom w:val="single" w:sz="4" w:space="0" w:color="auto"/>
              <w:right w:val="single" w:sz="4" w:space="0" w:color="auto"/>
            </w:tcBorders>
            <w:vAlign w:val="bottom"/>
            <w:hideMark/>
          </w:tcPr>
          <w:p w:rsidR="00754C28" w:rsidRPr="001D50E3" w:rsidRDefault="00754C28" w:rsidP="008768C7">
            <w:pPr>
              <w:spacing w:after="60" w:line="276" w:lineRule="auto"/>
              <w:rPr>
                <w:rFonts w:ascii="Arial" w:eastAsia="Calibri" w:hAnsi="Arial" w:cs="Arial"/>
                <w:i/>
                <w:noProof/>
                <w:sz w:val="16"/>
                <w:szCs w:val="20"/>
              </w:rPr>
            </w:pPr>
            <w:r w:rsidRPr="001D50E3">
              <w:rPr>
                <w:rFonts w:ascii="Arial" w:eastAsia="Calibri" w:hAnsi="Arial" w:cs="Arial"/>
                <w:i/>
                <w:noProof/>
                <w:sz w:val="16"/>
                <w:szCs w:val="20"/>
              </w:rPr>
              <w:t>195 709,83</w:t>
            </w:r>
          </w:p>
        </w:tc>
        <w:tc>
          <w:tcPr>
            <w:tcW w:w="349" w:type="pct"/>
            <w:tcBorders>
              <w:top w:val="single" w:sz="4" w:space="0" w:color="auto"/>
              <w:left w:val="nil"/>
              <w:bottom w:val="single" w:sz="4" w:space="0" w:color="auto"/>
              <w:right w:val="single" w:sz="4" w:space="0" w:color="auto"/>
            </w:tcBorders>
            <w:vAlign w:val="bottom"/>
            <w:hideMark/>
          </w:tcPr>
          <w:p w:rsidR="00754C28" w:rsidRPr="001D50E3" w:rsidRDefault="00754C28" w:rsidP="008768C7">
            <w:pPr>
              <w:spacing w:after="60" w:line="276" w:lineRule="auto"/>
              <w:rPr>
                <w:rFonts w:ascii="Arial" w:eastAsia="Calibri" w:hAnsi="Arial" w:cs="Arial"/>
                <w:i/>
                <w:noProof/>
                <w:sz w:val="16"/>
                <w:szCs w:val="20"/>
              </w:rPr>
            </w:pPr>
            <w:r w:rsidRPr="001D50E3">
              <w:rPr>
                <w:rFonts w:ascii="Arial" w:eastAsia="Calibri" w:hAnsi="Arial" w:cs="Arial"/>
                <w:i/>
                <w:noProof/>
                <w:sz w:val="16"/>
                <w:szCs w:val="20"/>
              </w:rPr>
              <w:t>379 907,33</w:t>
            </w:r>
          </w:p>
        </w:tc>
        <w:tc>
          <w:tcPr>
            <w:tcW w:w="271" w:type="pct"/>
            <w:tcBorders>
              <w:top w:val="single" w:sz="4" w:space="0" w:color="auto"/>
              <w:left w:val="nil"/>
              <w:bottom w:val="single" w:sz="4" w:space="0" w:color="auto"/>
              <w:right w:val="single" w:sz="4" w:space="0" w:color="auto"/>
            </w:tcBorders>
            <w:vAlign w:val="bottom"/>
            <w:hideMark/>
          </w:tcPr>
          <w:p w:rsidR="00754C28" w:rsidRPr="001D50E3" w:rsidRDefault="00754C28" w:rsidP="008768C7">
            <w:pPr>
              <w:spacing w:after="60" w:line="276" w:lineRule="auto"/>
              <w:rPr>
                <w:rFonts w:ascii="Arial" w:eastAsia="Calibri" w:hAnsi="Arial" w:cs="Arial"/>
                <w:i/>
                <w:noProof/>
                <w:sz w:val="16"/>
                <w:szCs w:val="20"/>
              </w:rPr>
            </w:pPr>
            <w:r w:rsidRPr="001D50E3">
              <w:rPr>
                <w:rFonts w:ascii="Arial" w:eastAsia="Calibri" w:hAnsi="Arial" w:cs="Arial"/>
                <w:i/>
                <w:noProof/>
                <w:sz w:val="16"/>
                <w:szCs w:val="20"/>
              </w:rPr>
              <w:t>189 953,67</w:t>
            </w:r>
          </w:p>
        </w:tc>
        <w:tc>
          <w:tcPr>
            <w:tcW w:w="272" w:type="pct"/>
            <w:tcBorders>
              <w:top w:val="single" w:sz="4" w:space="0" w:color="auto"/>
              <w:left w:val="nil"/>
              <w:bottom w:val="single" w:sz="4" w:space="0" w:color="auto"/>
              <w:right w:val="single" w:sz="4" w:space="0" w:color="auto"/>
            </w:tcBorders>
            <w:vAlign w:val="bottom"/>
            <w:hideMark/>
          </w:tcPr>
          <w:p w:rsidR="00754C28" w:rsidRPr="001D50E3" w:rsidRDefault="00754C28" w:rsidP="008768C7">
            <w:pPr>
              <w:spacing w:after="60" w:line="276" w:lineRule="auto"/>
              <w:rPr>
                <w:rFonts w:ascii="Arial" w:eastAsia="Calibri" w:hAnsi="Arial" w:cs="Arial"/>
                <w:i/>
                <w:noProof/>
                <w:sz w:val="16"/>
                <w:szCs w:val="20"/>
              </w:rPr>
            </w:pPr>
            <w:r w:rsidRPr="001D50E3">
              <w:rPr>
                <w:rFonts w:ascii="Arial" w:eastAsia="Calibri" w:hAnsi="Arial" w:cs="Arial"/>
                <w:i/>
                <w:noProof/>
                <w:sz w:val="16"/>
                <w:szCs w:val="20"/>
              </w:rPr>
              <w:t>189 953,66</w:t>
            </w:r>
          </w:p>
        </w:tc>
        <w:tc>
          <w:tcPr>
            <w:tcW w:w="349" w:type="pct"/>
            <w:tcBorders>
              <w:top w:val="single" w:sz="4" w:space="0" w:color="auto"/>
              <w:left w:val="nil"/>
              <w:bottom w:val="single" w:sz="4" w:space="0" w:color="auto"/>
              <w:right w:val="single" w:sz="4" w:space="0" w:color="auto"/>
            </w:tcBorders>
            <w:vAlign w:val="bottom"/>
            <w:hideMark/>
          </w:tcPr>
          <w:p w:rsidR="00754C28" w:rsidRPr="001D50E3" w:rsidRDefault="00754C28" w:rsidP="008768C7">
            <w:pPr>
              <w:spacing w:after="60" w:line="276" w:lineRule="auto"/>
              <w:rPr>
                <w:rFonts w:ascii="Arial" w:eastAsia="Calibri" w:hAnsi="Arial" w:cs="Arial"/>
                <w:i/>
                <w:noProof/>
                <w:sz w:val="16"/>
                <w:szCs w:val="20"/>
              </w:rPr>
            </w:pPr>
            <w:r w:rsidRPr="001D50E3">
              <w:rPr>
                <w:rFonts w:ascii="Arial" w:eastAsia="Calibri" w:hAnsi="Arial" w:cs="Arial"/>
                <w:i/>
                <w:noProof/>
                <w:sz w:val="16"/>
                <w:szCs w:val="20"/>
              </w:rPr>
              <w:t>2 532 715,49</w:t>
            </w:r>
          </w:p>
        </w:tc>
        <w:tc>
          <w:tcPr>
            <w:tcW w:w="356" w:type="pct"/>
            <w:tcBorders>
              <w:top w:val="single" w:sz="4" w:space="0" w:color="auto"/>
              <w:left w:val="nil"/>
              <w:bottom w:val="single" w:sz="4" w:space="0" w:color="auto"/>
              <w:right w:val="single" w:sz="4" w:space="0" w:color="auto"/>
            </w:tcBorders>
            <w:vAlign w:val="bottom"/>
            <w:hideMark/>
          </w:tcPr>
          <w:p w:rsidR="00754C28" w:rsidRPr="001D50E3" w:rsidRDefault="00754C28" w:rsidP="008768C7">
            <w:pPr>
              <w:spacing w:after="60" w:line="276" w:lineRule="auto"/>
              <w:rPr>
                <w:rFonts w:ascii="Arial" w:eastAsia="Calibri" w:hAnsi="Arial" w:cs="Arial"/>
                <w:i/>
                <w:noProof/>
                <w:sz w:val="16"/>
                <w:szCs w:val="20"/>
              </w:rPr>
            </w:pPr>
            <w:r w:rsidRPr="001D50E3">
              <w:rPr>
                <w:rFonts w:ascii="Arial" w:eastAsia="Calibri" w:hAnsi="Arial" w:cs="Arial"/>
                <w:i/>
                <w:noProof/>
                <w:sz w:val="16"/>
                <w:szCs w:val="20"/>
              </w:rPr>
              <w:t>0,85</w:t>
            </w:r>
          </w:p>
        </w:tc>
      </w:tr>
      <w:tr w:rsidR="00754C28" w:rsidRPr="001D50E3" w:rsidTr="00754C28">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54C28" w:rsidRPr="001D50E3" w:rsidRDefault="00754C28" w:rsidP="008768C7">
            <w:pPr>
              <w:spacing w:line="276" w:lineRule="auto"/>
              <w:rPr>
                <w:rFonts w:ascii="Arial" w:eastAsia="Calibri" w:hAnsi="Arial" w:cs="Arial"/>
                <w:i/>
                <w:noProof/>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54C28" w:rsidRPr="001D50E3" w:rsidRDefault="00754C28" w:rsidP="008768C7">
            <w:pPr>
              <w:spacing w:line="276" w:lineRule="auto"/>
              <w:rPr>
                <w:rFonts w:ascii="Arial" w:eastAsia="Calibri" w:hAnsi="Arial" w:cs="Arial"/>
                <w:b/>
                <w:i/>
                <w:noProof/>
                <w:sz w:val="16"/>
                <w:szCs w:val="16"/>
              </w:rPr>
            </w:pPr>
          </w:p>
        </w:tc>
        <w:tc>
          <w:tcPr>
            <w:tcW w:w="426" w:type="pct"/>
            <w:tcBorders>
              <w:top w:val="single" w:sz="4" w:space="0" w:color="auto"/>
              <w:left w:val="single" w:sz="4" w:space="0" w:color="auto"/>
              <w:bottom w:val="single" w:sz="4" w:space="0" w:color="auto"/>
              <w:right w:val="single" w:sz="4" w:space="0" w:color="auto"/>
            </w:tcBorders>
            <w:hideMark/>
          </w:tcPr>
          <w:p w:rsidR="00754C28" w:rsidRPr="001D50E3" w:rsidRDefault="00754C28" w:rsidP="008768C7">
            <w:pPr>
              <w:spacing w:after="160" w:line="276" w:lineRule="auto"/>
              <w:rPr>
                <w:rFonts w:ascii="Arial" w:eastAsia="Calibri" w:hAnsi="Arial" w:cs="Arial"/>
                <w:i/>
                <w:noProof/>
                <w:sz w:val="16"/>
                <w:szCs w:val="20"/>
              </w:rPr>
            </w:pPr>
            <w:r w:rsidRPr="001D50E3">
              <w:rPr>
                <w:rFonts w:ascii="Arial" w:eastAsia="Calibri" w:hAnsi="Arial" w:cs="Arial"/>
                <w:i/>
                <w:noProof/>
                <w:sz w:val="16"/>
                <w:szCs w:val="20"/>
              </w:rPr>
              <w:t>IPA</w:t>
            </w:r>
            <w:r w:rsidRPr="001D50E3">
              <w:rPr>
                <w:rFonts w:ascii="Arial" w:eastAsia="Calibri" w:hAnsi="Arial" w:cs="Arial"/>
                <w:i/>
                <w:noProof/>
                <w:sz w:val="16"/>
                <w:szCs w:val="20"/>
                <w:lang w:val="mk-MK"/>
              </w:rPr>
              <w:t xml:space="preserve"> </w:t>
            </w:r>
            <w:r w:rsidRPr="001D50E3">
              <w:rPr>
                <w:rFonts w:ascii="Arial" w:eastAsia="Calibri" w:hAnsi="Arial" w:cs="Arial"/>
                <w:i/>
                <w:noProof/>
                <w:sz w:val="16"/>
                <w:szCs w:val="20"/>
              </w:rPr>
              <w:t xml:space="preserve">III </w:t>
            </w:r>
            <w:r w:rsidRPr="001D50E3">
              <w:rPr>
                <w:rFonts w:ascii="Arial" w:eastAsia="Calibri" w:hAnsi="Arial" w:cs="Arial"/>
                <w:i/>
                <w:noProof/>
                <w:sz w:val="16"/>
                <w:szCs w:val="20"/>
                <w:lang w:val="sq-AL"/>
              </w:rPr>
              <w:t>BNK</w:t>
            </w:r>
            <w:r w:rsidRPr="001D50E3">
              <w:rPr>
                <w:rFonts w:ascii="Arial" w:eastAsia="Calibri" w:hAnsi="Arial" w:cs="Arial"/>
                <w:i/>
                <w:noProof/>
                <w:sz w:val="16"/>
                <w:szCs w:val="20"/>
                <w:vertAlign w:val="superscript"/>
              </w:rPr>
              <w:footnoteRef/>
            </w:r>
          </w:p>
        </w:tc>
        <w:tc>
          <w:tcPr>
            <w:tcW w:w="504" w:type="pct"/>
            <w:tcBorders>
              <w:top w:val="nil"/>
              <w:left w:val="single" w:sz="4" w:space="0" w:color="auto"/>
              <w:bottom w:val="single" w:sz="4" w:space="0" w:color="auto"/>
              <w:right w:val="single" w:sz="4" w:space="0" w:color="auto"/>
            </w:tcBorders>
            <w:vAlign w:val="bottom"/>
            <w:hideMark/>
          </w:tcPr>
          <w:p w:rsidR="00754C28" w:rsidRPr="001D50E3" w:rsidRDefault="00754C28" w:rsidP="008768C7">
            <w:pPr>
              <w:spacing w:after="60" w:line="276" w:lineRule="auto"/>
              <w:rPr>
                <w:rFonts w:ascii="Arial" w:eastAsia="Calibri" w:hAnsi="Arial" w:cs="Arial"/>
                <w:i/>
                <w:noProof/>
                <w:sz w:val="16"/>
                <w:szCs w:val="20"/>
              </w:rPr>
            </w:pPr>
            <w:r w:rsidRPr="001D50E3">
              <w:rPr>
                <w:rFonts w:ascii="Arial" w:eastAsia="Calibri" w:hAnsi="Arial" w:cs="Arial"/>
                <w:i/>
                <w:noProof/>
                <w:sz w:val="16"/>
                <w:szCs w:val="20"/>
                <w:lang w:val="mk-MK"/>
              </w:rPr>
              <w:t>Вкупни прифатли-ви трошоци</w:t>
            </w:r>
          </w:p>
        </w:tc>
        <w:tc>
          <w:tcPr>
            <w:tcW w:w="349" w:type="pct"/>
            <w:tcBorders>
              <w:top w:val="nil"/>
              <w:left w:val="nil"/>
              <w:bottom w:val="single" w:sz="4" w:space="0" w:color="auto"/>
              <w:right w:val="single" w:sz="4" w:space="0" w:color="auto"/>
            </w:tcBorders>
            <w:vAlign w:val="bottom"/>
            <w:hideMark/>
          </w:tcPr>
          <w:p w:rsidR="00754C28" w:rsidRPr="001D50E3" w:rsidRDefault="00754C28" w:rsidP="008768C7">
            <w:pPr>
              <w:spacing w:after="60" w:line="276" w:lineRule="auto"/>
              <w:rPr>
                <w:rFonts w:ascii="Arial" w:eastAsia="Calibri" w:hAnsi="Arial" w:cs="Arial"/>
                <w:i/>
                <w:noProof/>
                <w:sz w:val="16"/>
                <w:szCs w:val="20"/>
              </w:rPr>
            </w:pPr>
            <w:r w:rsidRPr="001D50E3">
              <w:rPr>
                <w:rFonts w:ascii="Arial" w:eastAsia="Calibri" w:hAnsi="Arial" w:cs="Arial"/>
                <w:i/>
                <w:noProof/>
                <w:sz w:val="16"/>
                <w:szCs w:val="20"/>
              </w:rPr>
              <w:t>2 305 657,47</w:t>
            </w:r>
          </w:p>
        </w:tc>
        <w:tc>
          <w:tcPr>
            <w:tcW w:w="349" w:type="pct"/>
            <w:tcBorders>
              <w:top w:val="nil"/>
              <w:left w:val="nil"/>
              <w:bottom w:val="single" w:sz="4" w:space="0" w:color="auto"/>
              <w:right w:val="single" w:sz="4" w:space="0" w:color="auto"/>
            </w:tcBorders>
            <w:vAlign w:val="bottom"/>
            <w:hideMark/>
          </w:tcPr>
          <w:p w:rsidR="00754C28" w:rsidRPr="001D50E3" w:rsidRDefault="00754C28" w:rsidP="008768C7">
            <w:pPr>
              <w:spacing w:after="60" w:line="276" w:lineRule="auto"/>
              <w:rPr>
                <w:rFonts w:ascii="Arial" w:eastAsia="Calibri" w:hAnsi="Arial" w:cs="Arial"/>
                <w:i/>
                <w:noProof/>
                <w:sz w:val="16"/>
                <w:szCs w:val="20"/>
              </w:rPr>
            </w:pPr>
            <w:r w:rsidRPr="001D50E3">
              <w:rPr>
                <w:rFonts w:ascii="Arial" w:eastAsia="Calibri" w:hAnsi="Arial" w:cs="Arial"/>
                <w:i/>
                <w:noProof/>
                <w:sz w:val="16"/>
                <w:szCs w:val="20"/>
              </w:rPr>
              <w:t>2 096 052,25</w:t>
            </w:r>
          </w:p>
        </w:tc>
        <w:tc>
          <w:tcPr>
            <w:tcW w:w="310" w:type="pct"/>
            <w:tcBorders>
              <w:top w:val="nil"/>
              <w:left w:val="nil"/>
              <w:bottom w:val="single" w:sz="4" w:space="0" w:color="auto"/>
              <w:right w:val="single" w:sz="4" w:space="0" w:color="auto"/>
            </w:tcBorders>
            <w:vAlign w:val="bottom"/>
            <w:hideMark/>
          </w:tcPr>
          <w:p w:rsidR="00754C28" w:rsidRPr="001D50E3" w:rsidRDefault="00754C28" w:rsidP="008768C7">
            <w:pPr>
              <w:spacing w:after="60" w:line="276" w:lineRule="auto"/>
              <w:rPr>
                <w:rFonts w:ascii="Arial" w:eastAsia="Calibri" w:hAnsi="Arial" w:cs="Arial"/>
                <w:i/>
                <w:noProof/>
                <w:sz w:val="16"/>
                <w:szCs w:val="20"/>
              </w:rPr>
            </w:pPr>
            <w:r w:rsidRPr="001D50E3">
              <w:rPr>
                <w:rFonts w:ascii="Arial" w:eastAsia="Calibri" w:hAnsi="Arial" w:cs="Arial"/>
                <w:i/>
                <w:noProof/>
                <w:sz w:val="16"/>
                <w:szCs w:val="20"/>
              </w:rPr>
              <w:t>209 605,22</w:t>
            </w:r>
          </w:p>
        </w:tc>
        <w:tc>
          <w:tcPr>
            <w:tcW w:w="349" w:type="pct"/>
            <w:tcBorders>
              <w:top w:val="nil"/>
              <w:left w:val="nil"/>
              <w:bottom w:val="single" w:sz="4" w:space="0" w:color="auto"/>
              <w:right w:val="single" w:sz="4" w:space="0" w:color="auto"/>
            </w:tcBorders>
            <w:vAlign w:val="bottom"/>
            <w:hideMark/>
          </w:tcPr>
          <w:p w:rsidR="00754C28" w:rsidRPr="001D50E3" w:rsidRDefault="00754C28" w:rsidP="008768C7">
            <w:pPr>
              <w:spacing w:after="60" w:line="276" w:lineRule="auto"/>
              <w:rPr>
                <w:rFonts w:ascii="Arial" w:eastAsia="Calibri" w:hAnsi="Arial" w:cs="Arial"/>
                <w:i/>
                <w:noProof/>
                <w:sz w:val="16"/>
                <w:szCs w:val="20"/>
              </w:rPr>
            </w:pPr>
            <w:r w:rsidRPr="001D50E3">
              <w:rPr>
                <w:rFonts w:ascii="Arial" w:eastAsia="Calibri" w:hAnsi="Arial" w:cs="Arial"/>
                <w:i/>
                <w:noProof/>
                <w:sz w:val="16"/>
                <w:szCs w:val="20"/>
              </w:rPr>
              <w:t>406 880,74</w:t>
            </w:r>
          </w:p>
        </w:tc>
        <w:tc>
          <w:tcPr>
            <w:tcW w:w="271" w:type="pct"/>
            <w:tcBorders>
              <w:top w:val="nil"/>
              <w:left w:val="nil"/>
              <w:bottom w:val="single" w:sz="4" w:space="0" w:color="auto"/>
              <w:right w:val="single" w:sz="4" w:space="0" w:color="auto"/>
            </w:tcBorders>
            <w:vAlign w:val="bottom"/>
            <w:hideMark/>
          </w:tcPr>
          <w:p w:rsidR="00754C28" w:rsidRPr="001D50E3" w:rsidRDefault="00754C28" w:rsidP="008768C7">
            <w:pPr>
              <w:spacing w:after="60" w:line="276" w:lineRule="auto"/>
              <w:rPr>
                <w:rFonts w:ascii="Arial" w:eastAsia="Calibri" w:hAnsi="Arial" w:cs="Arial"/>
                <w:i/>
                <w:noProof/>
                <w:sz w:val="16"/>
                <w:szCs w:val="20"/>
              </w:rPr>
            </w:pPr>
            <w:r w:rsidRPr="001D50E3">
              <w:rPr>
                <w:rFonts w:ascii="Arial" w:eastAsia="Calibri" w:hAnsi="Arial" w:cs="Arial"/>
                <w:i/>
                <w:noProof/>
                <w:sz w:val="16"/>
                <w:szCs w:val="20"/>
              </w:rPr>
              <w:t>203 440,37</w:t>
            </w:r>
          </w:p>
        </w:tc>
        <w:tc>
          <w:tcPr>
            <w:tcW w:w="272" w:type="pct"/>
            <w:tcBorders>
              <w:top w:val="nil"/>
              <w:left w:val="nil"/>
              <w:bottom w:val="single" w:sz="4" w:space="0" w:color="auto"/>
              <w:right w:val="single" w:sz="4" w:space="0" w:color="auto"/>
            </w:tcBorders>
            <w:vAlign w:val="bottom"/>
            <w:hideMark/>
          </w:tcPr>
          <w:p w:rsidR="00754C28" w:rsidRPr="001D50E3" w:rsidRDefault="00754C28" w:rsidP="008768C7">
            <w:pPr>
              <w:spacing w:after="60" w:line="276" w:lineRule="auto"/>
              <w:rPr>
                <w:rFonts w:ascii="Arial" w:eastAsia="Calibri" w:hAnsi="Arial" w:cs="Arial"/>
                <w:i/>
                <w:noProof/>
                <w:sz w:val="16"/>
                <w:szCs w:val="20"/>
              </w:rPr>
            </w:pPr>
            <w:r w:rsidRPr="001D50E3">
              <w:rPr>
                <w:rFonts w:ascii="Arial" w:eastAsia="Calibri" w:hAnsi="Arial" w:cs="Arial"/>
                <w:i/>
                <w:noProof/>
                <w:sz w:val="16"/>
                <w:szCs w:val="20"/>
              </w:rPr>
              <w:t>203 440,37</w:t>
            </w:r>
          </w:p>
        </w:tc>
        <w:tc>
          <w:tcPr>
            <w:tcW w:w="349" w:type="pct"/>
            <w:tcBorders>
              <w:top w:val="nil"/>
              <w:left w:val="nil"/>
              <w:bottom w:val="single" w:sz="4" w:space="0" w:color="auto"/>
              <w:right w:val="single" w:sz="4" w:space="0" w:color="auto"/>
            </w:tcBorders>
            <w:vAlign w:val="bottom"/>
            <w:hideMark/>
          </w:tcPr>
          <w:p w:rsidR="00754C28" w:rsidRPr="001D50E3" w:rsidRDefault="00754C28" w:rsidP="008768C7">
            <w:pPr>
              <w:spacing w:after="60" w:line="276" w:lineRule="auto"/>
              <w:rPr>
                <w:rFonts w:ascii="Arial" w:eastAsia="Calibri" w:hAnsi="Arial" w:cs="Arial"/>
                <w:i/>
                <w:noProof/>
                <w:sz w:val="16"/>
                <w:szCs w:val="20"/>
              </w:rPr>
            </w:pPr>
            <w:r w:rsidRPr="001D50E3">
              <w:rPr>
                <w:rFonts w:ascii="Arial" w:eastAsia="Calibri" w:hAnsi="Arial" w:cs="Arial"/>
                <w:i/>
                <w:noProof/>
                <w:sz w:val="16"/>
                <w:szCs w:val="20"/>
              </w:rPr>
              <w:t>2 712 538,21</w:t>
            </w:r>
          </w:p>
        </w:tc>
        <w:tc>
          <w:tcPr>
            <w:tcW w:w="356" w:type="pct"/>
            <w:tcBorders>
              <w:top w:val="nil"/>
              <w:left w:val="nil"/>
              <w:bottom w:val="single" w:sz="4" w:space="0" w:color="auto"/>
              <w:right w:val="single" w:sz="4" w:space="0" w:color="auto"/>
            </w:tcBorders>
            <w:vAlign w:val="bottom"/>
            <w:hideMark/>
          </w:tcPr>
          <w:p w:rsidR="00754C28" w:rsidRPr="001D50E3" w:rsidRDefault="00754C28" w:rsidP="008768C7">
            <w:pPr>
              <w:spacing w:after="60" w:line="276" w:lineRule="auto"/>
              <w:rPr>
                <w:rFonts w:ascii="Arial" w:eastAsia="Calibri" w:hAnsi="Arial" w:cs="Arial"/>
                <w:i/>
                <w:noProof/>
                <w:sz w:val="16"/>
                <w:szCs w:val="20"/>
              </w:rPr>
            </w:pPr>
            <w:r w:rsidRPr="001D50E3">
              <w:rPr>
                <w:rFonts w:ascii="Arial" w:eastAsia="Calibri" w:hAnsi="Arial" w:cs="Arial"/>
                <w:i/>
                <w:noProof/>
                <w:sz w:val="16"/>
                <w:szCs w:val="20"/>
              </w:rPr>
              <w:t>0,85</w:t>
            </w:r>
          </w:p>
        </w:tc>
      </w:tr>
      <w:tr w:rsidR="00754C28" w:rsidRPr="001D50E3" w:rsidTr="00754C28">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54C28" w:rsidRPr="001D50E3" w:rsidRDefault="00754C28" w:rsidP="008768C7">
            <w:pPr>
              <w:spacing w:line="276" w:lineRule="auto"/>
              <w:rPr>
                <w:rFonts w:ascii="Arial" w:eastAsia="Calibri" w:hAnsi="Arial" w:cs="Arial"/>
                <w:i/>
                <w:noProof/>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54C28" w:rsidRPr="001D50E3" w:rsidRDefault="00754C28" w:rsidP="008768C7">
            <w:pPr>
              <w:spacing w:line="276" w:lineRule="auto"/>
              <w:rPr>
                <w:rFonts w:ascii="Arial" w:eastAsia="Calibri" w:hAnsi="Arial" w:cs="Arial"/>
                <w:b/>
                <w:i/>
                <w:noProof/>
                <w:sz w:val="16"/>
                <w:szCs w:val="16"/>
              </w:rPr>
            </w:pPr>
          </w:p>
        </w:tc>
        <w:tc>
          <w:tcPr>
            <w:tcW w:w="426" w:type="pct"/>
            <w:tcBorders>
              <w:top w:val="single" w:sz="4" w:space="0" w:color="auto"/>
              <w:left w:val="single" w:sz="4" w:space="0" w:color="auto"/>
              <w:bottom w:val="single" w:sz="4" w:space="0" w:color="auto"/>
              <w:right w:val="single" w:sz="4" w:space="0" w:color="auto"/>
            </w:tcBorders>
            <w:hideMark/>
          </w:tcPr>
          <w:p w:rsidR="00754C28" w:rsidRPr="001D50E3" w:rsidRDefault="00754C28" w:rsidP="008768C7">
            <w:pPr>
              <w:spacing w:after="160" w:line="276" w:lineRule="auto"/>
              <w:rPr>
                <w:rFonts w:ascii="Arial" w:eastAsia="Calibri" w:hAnsi="Arial" w:cs="Arial"/>
                <w:i/>
                <w:noProof/>
                <w:sz w:val="16"/>
                <w:szCs w:val="20"/>
                <w:lang w:val="sq-AL"/>
              </w:rPr>
            </w:pPr>
            <w:r w:rsidRPr="001D50E3">
              <w:rPr>
                <w:rFonts w:ascii="Arial" w:eastAsia="Calibri" w:hAnsi="Arial" w:cs="Arial"/>
                <w:i/>
                <w:noProof/>
                <w:sz w:val="16"/>
                <w:szCs w:val="20"/>
                <w:lang w:val="sq-AL"/>
              </w:rPr>
              <w:t>BNK me kojshite</w:t>
            </w:r>
            <w:r w:rsidRPr="001D50E3">
              <w:rPr>
                <w:rFonts w:ascii="Arial" w:eastAsia="Calibri" w:hAnsi="Arial" w:cs="Arial"/>
                <w:i/>
                <w:noProof/>
                <w:sz w:val="16"/>
                <w:szCs w:val="20"/>
                <w:vertAlign w:val="superscript"/>
              </w:rPr>
              <w:footnoteRef/>
            </w:r>
          </w:p>
        </w:tc>
        <w:tc>
          <w:tcPr>
            <w:tcW w:w="504" w:type="pct"/>
            <w:tcBorders>
              <w:top w:val="single" w:sz="4" w:space="0" w:color="auto"/>
              <w:left w:val="single" w:sz="4" w:space="0" w:color="auto"/>
              <w:bottom w:val="single" w:sz="4" w:space="0" w:color="auto"/>
              <w:right w:val="single" w:sz="4" w:space="0" w:color="auto"/>
            </w:tcBorders>
          </w:tcPr>
          <w:p w:rsidR="00754C28" w:rsidRPr="001D50E3" w:rsidRDefault="00754C28" w:rsidP="008768C7">
            <w:pPr>
              <w:spacing w:after="60" w:line="276" w:lineRule="auto"/>
              <w:rPr>
                <w:rFonts w:ascii="Arial" w:eastAsia="Calibri" w:hAnsi="Arial" w:cs="Arial"/>
                <w:i/>
                <w:noProof/>
                <w:sz w:val="16"/>
                <w:szCs w:val="16"/>
              </w:rPr>
            </w:pPr>
          </w:p>
        </w:tc>
        <w:tc>
          <w:tcPr>
            <w:tcW w:w="349" w:type="pct"/>
            <w:tcBorders>
              <w:top w:val="single" w:sz="4" w:space="0" w:color="auto"/>
              <w:left w:val="single" w:sz="4" w:space="0" w:color="auto"/>
              <w:bottom w:val="single" w:sz="4" w:space="0" w:color="auto"/>
              <w:right w:val="single" w:sz="4" w:space="0" w:color="auto"/>
            </w:tcBorders>
          </w:tcPr>
          <w:p w:rsidR="00754C28" w:rsidRPr="001D50E3" w:rsidRDefault="00754C28" w:rsidP="008768C7">
            <w:pPr>
              <w:spacing w:after="60" w:line="276" w:lineRule="auto"/>
              <w:rPr>
                <w:rFonts w:ascii="Arial" w:eastAsia="Calibri" w:hAnsi="Arial" w:cs="Arial"/>
                <w:i/>
                <w:noProof/>
                <w:sz w:val="16"/>
                <w:szCs w:val="16"/>
              </w:rPr>
            </w:pPr>
          </w:p>
        </w:tc>
        <w:tc>
          <w:tcPr>
            <w:tcW w:w="349" w:type="pct"/>
            <w:tcBorders>
              <w:top w:val="single" w:sz="4" w:space="0" w:color="auto"/>
              <w:left w:val="single" w:sz="4" w:space="0" w:color="auto"/>
              <w:bottom w:val="single" w:sz="4" w:space="0" w:color="auto"/>
              <w:right w:val="single" w:sz="4" w:space="0" w:color="auto"/>
            </w:tcBorders>
          </w:tcPr>
          <w:p w:rsidR="00754C28" w:rsidRPr="001D50E3" w:rsidRDefault="00754C28" w:rsidP="008768C7">
            <w:pPr>
              <w:spacing w:after="60" w:line="276" w:lineRule="auto"/>
              <w:rPr>
                <w:rFonts w:ascii="Arial" w:eastAsia="Calibri" w:hAnsi="Arial" w:cs="Arial"/>
                <w:i/>
                <w:noProof/>
                <w:sz w:val="16"/>
                <w:szCs w:val="16"/>
              </w:rPr>
            </w:pPr>
          </w:p>
        </w:tc>
        <w:tc>
          <w:tcPr>
            <w:tcW w:w="310" w:type="pct"/>
            <w:tcBorders>
              <w:top w:val="single" w:sz="4" w:space="0" w:color="auto"/>
              <w:left w:val="single" w:sz="4" w:space="0" w:color="auto"/>
              <w:bottom w:val="single" w:sz="4" w:space="0" w:color="auto"/>
              <w:right w:val="single" w:sz="4" w:space="0" w:color="auto"/>
            </w:tcBorders>
          </w:tcPr>
          <w:p w:rsidR="00754C28" w:rsidRPr="001D50E3" w:rsidRDefault="00754C28" w:rsidP="008768C7">
            <w:pPr>
              <w:spacing w:after="60" w:line="276" w:lineRule="auto"/>
              <w:rPr>
                <w:rFonts w:ascii="Arial" w:eastAsia="Calibri" w:hAnsi="Arial" w:cs="Arial"/>
                <w:i/>
                <w:noProof/>
                <w:sz w:val="16"/>
                <w:szCs w:val="16"/>
              </w:rPr>
            </w:pPr>
          </w:p>
        </w:tc>
        <w:tc>
          <w:tcPr>
            <w:tcW w:w="349" w:type="pct"/>
            <w:tcBorders>
              <w:top w:val="single" w:sz="4" w:space="0" w:color="auto"/>
              <w:left w:val="single" w:sz="4" w:space="0" w:color="auto"/>
              <w:bottom w:val="single" w:sz="4" w:space="0" w:color="auto"/>
              <w:right w:val="single" w:sz="4" w:space="0" w:color="auto"/>
            </w:tcBorders>
          </w:tcPr>
          <w:p w:rsidR="00754C28" w:rsidRPr="001D50E3" w:rsidRDefault="00754C28" w:rsidP="008768C7">
            <w:pPr>
              <w:spacing w:after="60" w:line="276" w:lineRule="auto"/>
              <w:rPr>
                <w:rFonts w:ascii="Arial" w:eastAsia="Calibri" w:hAnsi="Arial" w:cs="Arial"/>
                <w:i/>
                <w:noProof/>
                <w:sz w:val="16"/>
                <w:szCs w:val="16"/>
              </w:rPr>
            </w:pPr>
          </w:p>
        </w:tc>
        <w:tc>
          <w:tcPr>
            <w:tcW w:w="271" w:type="pct"/>
            <w:tcBorders>
              <w:top w:val="single" w:sz="4" w:space="0" w:color="auto"/>
              <w:left w:val="single" w:sz="4" w:space="0" w:color="auto"/>
              <w:bottom w:val="single" w:sz="4" w:space="0" w:color="auto"/>
              <w:right w:val="single" w:sz="4" w:space="0" w:color="auto"/>
            </w:tcBorders>
          </w:tcPr>
          <w:p w:rsidR="00754C28" w:rsidRPr="001D50E3" w:rsidRDefault="00754C28" w:rsidP="008768C7">
            <w:pPr>
              <w:spacing w:after="60" w:line="276" w:lineRule="auto"/>
              <w:rPr>
                <w:rFonts w:ascii="Arial" w:eastAsia="Calibri" w:hAnsi="Arial" w:cs="Arial"/>
                <w:i/>
                <w:noProof/>
                <w:sz w:val="16"/>
                <w:szCs w:val="16"/>
              </w:rPr>
            </w:pPr>
          </w:p>
        </w:tc>
        <w:tc>
          <w:tcPr>
            <w:tcW w:w="272" w:type="pct"/>
            <w:tcBorders>
              <w:top w:val="single" w:sz="4" w:space="0" w:color="auto"/>
              <w:left w:val="single" w:sz="4" w:space="0" w:color="auto"/>
              <w:bottom w:val="single" w:sz="4" w:space="0" w:color="auto"/>
              <w:right w:val="single" w:sz="4" w:space="0" w:color="auto"/>
            </w:tcBorders>
          </w:tcPr>
          <w:p w:rsidR="00754C28" w:rsidRPr="001D50E3" w:rsidRDefault="00754C28" w:rsidP="008768C7">
            <w:pPr>
              <w:spacing w:after="60" w:line="276" w:lineRule="auto"/>
              <w:rPr>
                <w:rFonts w:ascii="Arial" w:eastAsia="Calibri" w:hAnsi="Arial" w:cs="Arial"/>
                <w:i/>
                <w:noProof/>
                <w:sz w:val="16"/>
                <w:szCs w:val="16"/>
              </w:rPr>
            </w:pPr>
          </w:p>
        </w:tc>
        <w:tc>
          <w:tcPr>
            <w:tcW w:w="349" w:type="pct"/>
            <w:tcBorders>
              <w:top w:val="single" w:sz="4" w:space="0" w:color="auto"/>
              <w:left w:val="single" w:sz="4" w:space="0" w:color="auto"/>
              <w:bottom w:val="single" w:sz="4" w:space="0" w:color="auto"/>
              <w:right w:val="single" w:sz="4" w:space="0" w:color="auto"/>
            </w:tcBorders>
          </w:tcPr>
          <w:p w:rsidR="00754C28" w:rsidRPr="001D50E3" w:rsidRDefault="00754C28" w:rsidP="008768C7">
            <w:pPr>
              <w:spacing w:after="60" w:line="276" w:lineRule="auto"/>
              <w:rPr>
                <w:rFonts w:ascii="Arial" w:eastAsia="Calibri" w:hAnsi="Arial" w:cs="Arial"/>
                <w:i/>
                <w:noProof/>
                <w:sz w:val="16"/>
                <w:szCs w:val="16"/>
              </w:rPr>
            </w:pPr>
          </w:p>
        </w:tc>
        <w:tc>
          <w:tcPr>
            <w:tcW w:w="356" w:type="pct"/>
            <w:tcBorders>
              <w:top w:val="single" w:sz="4" w:space="0" w:color="auto"/>
              <w:left w:val="single" w:sz="4" w:space="0" w:color="auto"/>
              <w:bottom w:val="single" w:sz="4" w:space="0" w:color="auto"/>
              <w:right w:val="single" w:sz="4" w:space="0" w:color="auto"/>
            </w:tcBorders>
          </w:tcPr>
          <w:p w:rsidR="00754C28" w:rsidRPr="001D50E3" w:rsidRDefault="00754C28" w:rsidP="008768C7">
            <w:pPr>
              <w:spacing w:after="60" w:line="276" w:lineRule="auto"/>
              <w:rPr>
                <w:rFonts w:ascii="Arial" w:eastAsia="Calibri" w:hAnsi="Arial" w:cs="Arial"/>
                <w:i/>
                <w:noProof/>
                <w:sz w:val="16"/>
                <w:szCs w:val="16"/>
              </w:rPr>
            </w:pPr>
          </w:p>
        </w:tc>
      </w:tr>
      <w:tr w:rsidR="00754C28" w:rsidRPr="001D50E3" w:rsidTr="00754C28">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54C28" w:rsidRPr="001D50E3" w:rsidRDefault="00754C28" w:rsidP="008768C7">
            <w:pPr>
              <w:spacing w:line="276" w:lineRule="auto"/>
              <w:rPr>
                <w:rFonts w:ascii="Arial" w:eastAsia="Calibri" w:hAnsi="Arial" w:cs="Arial"/>
                <w:i/>
                <w:noProof/>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54C28" w:rsidRPr="001D50E3" w:rsidRDefault="00754C28" w:rsidP="008768C7">
            <w:pPr>
              <w:spacing w:line="276" w:lineRule="auto"/>
              <w:rPr>
                <w:rFonts w:ascii="Arial" w:eastAsia="Calibri" w:hAnsi="Arial" w:cs="Arial"/>
                <w:b/>
                <w:i/>
                <w:noProof/>
                <w:sz w:val="16"/>
                <w:szCs w:val="16"/>
              </w:rPr>
            </w:pPr>
          </w:p>
        </w:tc>
        <w:tc>
          <w:tcPr>
            <w:tcW w:w="426" w:type="pct"/>
            <w:tcBorders>
              <w:top w:val="single" w:sz="4" w:space="0" w:color="auto"/>
              <w:left w:val="single" w:sz="4" w:space="0" w:color="auto"/>
              <w:bottom w:val="single" w:sz="4" w:space="0" w:color="auto"/>
              <w:right w:val="single" w:sz="4" w:space="0" w:color="auto"/>
            </w:tcBorders>
            <w:hideMark/>
          </w:tcPr>
          <w:p w:rsidR="00754C28" w:rsidRPr="001D50E3" w:rsidRDefault="00754C28" w:rsidP="008768C7">
            <w:pPr>
              <w:spacing w:after="160" w:line="276" w:lineRule="auto"/>
              <w:rPr>
                <w:rFonts w:ascii="Arial" w:eastAsia="Calibri" w:hAnsi="Arial" w:cs="Arial"/>
                <w:i/>
                <w:noProof/>
                <w:sz w:val="16"/>
                <w:szCs w:val="20"/>
              </w:rPr>
            </w:pPr>
            <w:r w:rsidRPr="001D50E3">
              <w:rPr>
                <w:rFonts w:ascii="Arial" w:eastAsia="Calibri" w:hAnsi="Arial" w:cs="Arial"/>
                <w:i/>
                <w:noProof/>
                <w:sz w:val="16"/>
                <w:szCs w:val="20"/>
                <w:lang w:val="sq-AL"/>
              </w:rPr>
              <w:t>IPA</w:t>
            </w:r>
            <w:r w:rsidRPr="001D50E3">
              <w:rPr>
                <w:rFonts w:ascii="Arial" w:eastAsia="Calibri" w:hAnsi="Arial" w:cs="Arial"/>
                <w:i/>
                <w:noProof/>
                <w:sz w:val="16"/>
                <w:szCs w:val="20"/>
              </w:rPr>
              <w:t> III</w:t>
            </w:r>
            <w:r w:rsidRPr="001D50E3">
              <w:rPr>
                <w:rFonts w:ascii="Arial" w:eastAsia="Calibri" w:hAnsi="Arial" w:cs="Arial"/>
                <w:i/>
                <w:noProof/>
                <w:sz w:val="16"/>
                <w:szCs w:val="20"/>
                <w:vertAlign w:val="superscript"/>
              </w:rPr>
              <w:footnoteRef/>
            </w:r>
          </w:p>
        </w:tc>
        <w:tc>
          <w:tcPr>
            <w:tcW w:w="504" w:type="pct"/>
            <w:tcBorders>
              <w:top w:val="single" w:sz="4" w:space="0" w:color="auto"/>
              <w:left w:val="single" w:sz="4" w:space="0" w:color="auto"/>
              <w:bottom w:val="single" w:sz="4" w:space="0" w:color="auto"/>
              <w:right w:val="single" w:sz="4" w:space="0" w:color="auto"/>
            </w:tcBorders>
          </w:tcPr>
          <w:p w:rsidR="00754C28" w:rsidRPr="001D50E3" w:rsidRDefault="00754C28" w:rsidP="008768C7">
            <w:pPr>
              <w:spacing w:after="60" w:line="276" w:lineRule="auto"/>
              <w:rPr>
                <w:rFonts w:ascii="Arial" w:eastAsia="Calibri" w:hAnsi="Arial" w:cs="Arial"/>
                <w:i/>
                <w:noProof/>
                <w:sz w:val="16"/>
                <w:szCs w:val="16"/>
              </w:rPr>
            </w:pPr>
          </w:p>
        </w:tc>
        <w:tc>
          <w:tcPr>
            <w:tcW w:w="349" w:type="pct"/>
            <w:tcBorders>
              <w:top w:val="single" w:sz="4" w:space="0" w:color="auto"/>
              <w:left w:val="single" w:sz="4" w:space="0" w:color="auto"/>
              <w:bottom w:val="single" w:sz="4" w:space="0" w:color="auto"/>
              <w:right w:val="single" w:sz="4" w:space="0" w:color="auto"/>
            </w:tcBorders>
          </w:tcPr>
          <w:p w:rsidR="00754C28" w:rsidRPr="001D50E3" w:rsidRDefault="00754C28" w:rsidP="008768C7">
            <w:pPr>
              <w:spacing w:after="60" w:line="276" w:lineRule="auto"/>
              <w:rPr>
                <w:rFonts w:ascii="Arial" w:eastAsia="Calibri" w:hAnsi="Arial" w:cs="Arial"/>
                <w:i/>
                <w:noProof/>
                <w:sz w:val="16"/>
                <w:szCs w:val="16"/>
              </w:rPr>
            </w:pPr>
          </w:p>
        </w:tc>
        <w:tc>
          <w:tcPr>
            <w:tcW w:w="349" w:type="pct"/>
            <w:tcBorders>
              <w:top w:val="single" w:sz="4" w:space="0" w:color="auto"/>
              <w:left w:val="single" w:sz="4" w:space="0" w:color="auto"/>
              <w:bottom w:val="single" w:sz="4" w:space="0" w:color="auto"/>
              <w:right w:val="single" w:sz="4" w:space="0" w:color="auto"/>
            </w:tcBorders>
          </w:tcPr>
          <w:p w:rsidR="00754C28" w:rsidRPr="001D50E3" w:rsidRDefault="00754C28" w:rsidP="008768C7">
            <w:pPr>
              <w:spacing w:after="60" w:line="276" w:lineRule="auto"/>
              <w:rPr>
                <w:rFonts w:ascii="Arial" w:eastAsia="Calibri" w:hAnsi="Arial" w:cs="Arial"/>
                <w:i/>
                <w:noProof/>
                <w:sz w:val="16"/>
                <w:szCs w:val="16"/>
              </w:rPr>
            </w:pPr>
          </w:p>
        </w:tc>
        <w:tc>
          <w:tcPr>
            <w:tcW w:w="310" w:type="pct"/>
            <w:tcBorders>
              <w:top w:val="single" w:sz="4" w:space="0" w:color="auto"/>
              <w:left w:val="single" w:sz="4" w:space="0" w:color="auto"/>
              <w:bottom w:val="single" w:sz="4" w:space="0" w:color="auto"/>
              <w:right w:val="single" w:sz="4" w:space="0" w:color="auto"/>
            </w:tcBorders>
          </w:tcPr>
          <w:p w:rsidR="00754C28" w:rsidRPr="001D50E3" w:rsidRDefault="00754C28" w:rsidP="008768C7">
            <w:pPr>
              <w:spacing w:after="60" w:line="276" w:lineRule="auto"/>
              <w:rPr>
                <w:rFonts w:ascii="Arial" w:eastAsia="Calibri" w:hAnsi="Arial" w:cs="Arial"/>
                <w:i/>
                <w:noProof/>
                <w:sz w:val="16"/>
                <w:szCs w:val="16"/>
              </w:rPr>
            </w:pPr>
          </w:p>
        </w:tc>
        <w:tc>
          <w:tcPr>
            <w:tcW w:w="349" w:type="pct"/>
            <w:tcBorders>
              <w:top w:val="single" w:sz="4" w:space="0" w:color="auto"/>
              <w:left w:val="single" w:sz="4" w:space="0" w:color="auto"/>
              <w:bottom w:val="single" w:sz="4" w:space="0" w:color="auto"/>
              <w:right w:val="single" w:sz="4" w:space="0" w:color="auto"/>
            </w:tcBorders>
          </w:tcPr>
          <w:p w:rsidR="00754C28" w:rsidRPr="001D50E3" w:rsidRDefault="00754C28" w:rsidP="008768C7">
            <w:pPr>
              <w:spacing w:after="60" w:line="276" w:lineRule="auto"/>
              <w:rPr>
                <w:rFonts w:ascii="Arial" w:eastAsia="Calibri" w:hAnsi="Arial" w:cs="Arial"/>
                <w:i/>
                <w:noProof/>
                <w:sz w:val="16"/>
                <w:szCs w:val="16"/>
              </w:rPr>
            </w:pPr>
          </w:p>
        </w:tc>
        <w:tc>
          <w:tcPr>
            <w:tcW w:w="271" w:type="pct"/>
            <w:tcBorders>
              <w:top w:val="single" w:sz="4" w:space="0" w:color="auto"/>
              <w:left w:val="single" w:sz="4" w:space="0" w:color="auto"/>
              <w:bottom w:val="single" w:sz="4" w:space="0" w:color="auto"/>
              <w:right w:val="single" w:sz="4" w:space="0" w:color="auto"/>
            </w:tcBorders>
          </w:tcPr>
          <w:p w:rsidR="00754C28" w:rsidRPr="001D50E3" w:rsidRDefault="00754C28" w:rsidP="008768C7">
            <w:pPr>
              <w:spacing w:after="60" w:line="276" w:lineRule="auto"/>
              <w:rPr>
                <w:rFonts w:ascii="Arial" w:eastAsia="Calibri" w:hAnsi="Arial" w:cs="Arial"/>
                <w:i/>
                <w:noProof/>
                <w:sz w:val="16"/>
                <w:szCs w:val="16"/>
              </w:rPr>
            </w:pPr>
          </w:p>
        </w:tc>
        <w:tc>
          <w:tcPr>
            <w:tcW w:w="272" w:type="pct"/>
            <w:tcBorders>
              <w:top w:val="single" w:sz="4" w:space="0" w:color="auto"/>
              <w:left w:val="single" w:sz="4" w:space="0" w:color="auto"/>
              <w:bottom w:val="single" w:sz="4" w:space="0" w:color="auto"/>
              <w:right w:val="single" w:sz="4" w:space="0" w:color="auto"/>
            </w:tcBorders>
          </w:tcPr>
          <w:p w:rsidR="00754C28" w:rsidRPr="001D50E3" w:rsidRDefault="00754C28" w:rsidP="008768C7">
            <w:pPr>
              <w:spacing w:after="60" w:line="276" w:lineRule="auto"/>
              <w:rPr>
                <w:rFonts w:ascii="Arial" w:eastAsia="Calibri" w:hAnsi="Arial" w:cs="Arial"/>
                <w:i/>
                <w:noProof/>
                <w:sz w:val="16"/>
                <w:szCs w:val="16"/>
              </w:rPr>
            </w:pPr>
          </w:p>
        </w:tc>
        <w:tc>
          <w:tcPr>
            <w:tcW w:w="349" w:type="pct"/>
            <w:tcBorders>
              <w:top w:val="single" w:sz="4" w:space="0" w:color="auto"/>
              <w:left w:val="single" w:sz="4" w:space="0" w:color="auto"/>
              <w:bottom w:val="single" w:sz="4" w:space="0" w:color="auto"/>
              <w:right w:val="single" w:sz="4" w:space="0" w:color="auto"/>
            </w:tcBorders>
          </w:tcPr>
          <w:p w:rsidR="00754C28" w:rsidRPr="001D50E3" w:rsidRDefault="00754C28" w:rsidP="008768C7">
            <w:pPr>
              <w:spacing w:after="60" w:line="276" w:lineRule="auto"/>
              <w:rPr>
                <w:rFonts w:ascii="Arial" w:eastAsia="Calibri" w:hAnsi="Arial" w:cs="Arial"/>
                <w:i/>
                <w:noProof/>
                <w:sz w:val="16"/>
                <w:szCs w:val="16"/>
              </w:rPr>
            </w:pPr>
          </w:p>
        </w:tc>
        <w:tc>
          <w:tcPr>
            <w:tcW w:w="356" w:type="pct"/>
            <w:tcBorders>
              <w:top w:val="single" w:sz="4" w:space="0" w:color="auto"/>
              <w:left w:val="single" w:sz="4" w:space="0" w:color="auto"/>
              <w:bottom w:val="single" w:sz="4" w:space="0" w:color="auto"/>
              <w:right w:val="single" w:sz="4" w:space="0" w:color="auto"/>
            </w:tcBorders>
          </w:tcPr>
          <w:p w:rsidR="00754C28" w:rsidRPr="001D50E3" w:rsidRDefault="00754C28" w:rsidP="008768C7">
            <w:pPr>
              <w:spacing w:after="60" w:line="276" w:lineRule="auto"/>
              <w:rPr>
                <w:rFonts w:ascii="Arial" w:eastAsia="Calibri" w:hAnsi="Arial" w:cs="Arial"/>
                <w:i/>
                <w:noProof/>
                <w:sz w:val="16"/>
                <w:szCs w:val="16"/>
              </w:rPr>
            </w:pPr>
          </w:p>
        </w:tc>
      </w:tr>
      <w:tr w:rsidR="00754C28" w:rsidRPr="001D50E3" w:rsidTr="00754C28">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54C28" w:rsidRPr="001D50E3" w:rsidRDefault="00754C28" w:rsidP="008768C7">
            <w:pPr>
              <w:spacing w:line="276" w:lineRule="auto"/>
              <w:rPr>
                <w:rFonts w:ascii="Arial" w:eastAsia="Calibri" w:hAnsi="Arial" w:cs="Arial"/>
                <w:i/>
                <w:noProof/>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54C28" w:rsidRPr="001D50E3" w:rsidRDefault="00754C28" w:rsidP="008768C7">
            <w:pPr>
              <w:spacing w:line="276" w:lineRule="auto"/>
              <w:rPr>
                <w:rFonts w:ascii="Arial" w:eastAsia="Calibri" w:hAnsi="Arial" w:cs="Arial"/>
                <w:b/>
                <w:i/>
                <w:noProof/>
                <w:sz w:val="16"/>
                <w:szCs w:val="16"/>
              </w:rPr>
            </w:pPr>
          </w:p>
        </w:tc>
        <w:tc>
          <w:tcPr>
            <w:tcW w:w="426" w:type="pct"/>
            <w:tcBorders>
              <w:top w:val="single" w:sz="4" w:space="0" w:color="auto"/>
              <w:left w:val="single" w:sz="4" w:space="0" w:color="auto"/>
              <w:bottom w:val="single" w:sz="4" w:space="0" w:color="auto"/>
              <w:right w:val="single" w:sz="4" w:space="0" w:color="auto"/>
            </w:tcBorders>
            <w:hideMark/>
          </w:tcPr>
          <w:p w:rsidR="00754C28" w:rsidRPr="001D50E3" w:rsidRDefault="00754C28" w:rsidP="008768C7">
            <w:pPr>
              <w:spacing w:after="160" w:line="276" w:lineRule="auto"/>
              <w:rPr>
                <w:rFonts w:ascii="Arial" w:eastAsia="Calibri" w:hAnsi="Arial" w:cs="Arial"/>
                <w:i/>
                <w:noProof/>
                <w:sz w:val="16"/>
                <w:szCs w:val="20"/>
              </w:rPr>
            </w:pPr>
            <w:r w:rsidRPr="001D50E3">
              <w:rPr>
                <w:rFonts w:ascii="Arial" w:eastAsia="Calibri" w:hAnsi="Arial" w:cs="Arial"/>
                <w:i/>
                <w:noProof/>
                <w:sz w:val="16"/>
                <w:szCs w:val="20"/>
                <w:lang w:val="mk-MK"/>
              </w:rPr>
              <w:t>ИСРТС</w:t>
            </w:r>
            <w:r w:rsidRPr="001D50E3">
              <w:rPr>
                <w:rFonts w:ascii="Arial" w:eastAsia="Calibri" w:hAnsi="Arial" w:cs="Arial"/>
                <w:i/>
                <w:noProof/>
                <w:sz w:val="16"/>
                <w:szCs w:val="20"/>
                <w:vertAlign w:val="superscript"/>
              </w:rPr>
              <w:footnoteRef/>
            </w:r>
          </w:p>
        </w:tc>
        <w:tc>
          <w:tcPr>
            <w:tcW w:w="504" w:type="pct"/>
            <w:tcBorders>
              <w:top w:val="single" w:sz="4" w:space="0" w:color="auto"/>
              <w:left w:val="single" w:sz="4" w:space="0" w:color="auto"/>
              <w:bottom w:val="single" w:sz="4" w:space="0" w:color="auto"/>
              <w:right w:val="single" w:sz="4" w:space="0" w:color="auto"/>
            </w:tcBorders>
          </w:tcPr>
          <w:p w:rsidR="00754C28" w:rsidRPr="001D50E3" w:rsidRDefault="00754C28" w:rsidP="008768C7">
            <w:pPr>
              <w:spacing w:after="60" w:line="276" w:lineRule="auto"/>
              <w:rPr>
                <w:rFonts w:ascii="Arial" w:eastAsia="Calibri" w:hAnsi="Arial" w:cs="Arial"/>
                <w:i/>
                <w:noProof/>
                <w:sz w:val="16"/>
                <w:szCs w:val="16"/>
              </w:rPr>
            </w:pPr>
          </w:p>
        </w:tc>
        <w:tc>
          <w:tcPr>
            <w:tcW w:w="349" w:type="pct"/>
            <w:tcBorders>
              <w:top w:val="single" w:sz="4" w:space="0" w:color="auto"/>
              <w:left w:val="single" w:sz="4" w:space="0" w:color="auto"/>
              <w:bottom w:val="single" w:sz="4" w:space="0" w:color="auto"/>
              <w:right w:val="single" w:sz="4" w:space="0" w:color="auto"/>
            </w:tcBorders>
          </w:tcPr>
          <w:p w:rsidR="00754C28" w:rsidRPr="001D50E3" w:rsidRDefault="00754C28" w:rsidP="008768C7">
            <w:pPr>
              <w:spacing w:after="60" w:line="276" w:lineRule="auto"/>
              <w:rPr>
                <w:rFonts w:ascii="Arial" w:eastAsia="Calibri" w:hAnsi="Arial" w:cs="Arial"/>
                <w:i/>
                <w:noProof/>
                <w:sz w:val="16"/>
                <w:szCs w:val="16"/>
              </w:rPr>
            </w:pPr>
          </w:p>
        </w:tc>
        <w:tc>
          <w:tcPr>
            <w:tcW w:w="349" w:type="pct"/>
            <w:tcBorders>
              <w:top w:val="single" w:sz="4" w:space="0" w:color="auto"/>
              <w:left w:val="single" w:sz="4" w:space="0" w:color="auto"/>
              <w:bottom w:val="single" w:sz="4" w:space="0" w:color="auto"/>
              <w:right w:val="single" w:sz="4" w:space="0" w:color="auto"/>
            </w:tcBorders>
          </w:tcPr>
          <w:p w:rsidR="00754C28" w:rsidRPr="001D50E3" w:rsidRDefault="00754C28" w:rsidP="008768C7">
            <w:pPr>
              <w:spacing w:after="60" w:line="276" w:lineRule="auto"/>
              <w:rPr>
                <w:rFonts w:ascii="Arial" w:eastAsia="Calibri" w:hAnsi="Arial" w:cs="Arial"/>
                <w:i/>
                <w:noProof/>
                <w:sz w:val="16"/>
                <w:szCs w:val="16"/>
              </w:rPr>
            </w:pPr>
          </w:p>
        </w:tc>
        <w:tc>
          <w:tcPr>
            <w:tcW w:w="310" w:type="pct"/>
            <w:tcBorders>
              <w:top w:val="single" w:sz="4" w:space="0" w:color="auto"/>
              <w:left w:val="single" w:sz="4" w:space="0" w:color="auto"/>
              <w:bottom w:val="single" w:sz="4" w:space="0" w:color="auto"/>
              <w:right w:val="single" w:sz="4" w:space="0" w:color="auto"/>
            </w:tcBorders>
          </w:tcPr>
          <w:p w:rsidR="00754C28" w:rsidRPr="001D50E3" w:rsidRDefault="00754C28" w:rsidP="008768C7">
            <w:pPr>
              <w:spacing w:after="60" w:line="276" w:lineRule="auto"/>
              <w:rPr>
                <w:rFonts w:ascii="Arial" w:eastAsia="Calibri" w:hAnsi="Arial" w:cs="Arial"/>
                <w:i/>
                <w:noProof/>
                <w:sz w:val="16"/>
                <w:szCs w:val="16"/>
              </w:rPr>
            </w:pPr>
          </w:p>
        </w:tc>
        <w:tc>
          <w:tcPr>
            <w:tcW w:w="349" w:type="pct"/>
            <w:tcBorders>
              <w:top w:val="single" w:sz="4" w:space="0" w:color="auto"/>
              <w:left w:val="single" w:sz="4" w:space="0" w:color="auto"/>
              <w:bottom w:val="single" w:sz="4" w:space="0" w:color="auto"/>
              <w:right w:val="single" w:sz="4" w:space="0" w:color="auto"/>
            </w:tcBorders>
          </w:tcPr>
          <w:p w:rsidR="00754C28" w:rsidRPr="001D50E3" w:rsidRDefault="00754C28" w:rsidP="008768C7">
            <w:pPr>
              <w:spacing w:after="60" w:line="276" w:lineRule="auto"/>
              <w:rPr>
                <w:rFonts w:ascii="Arial" w:eastAsia="Calibri" w:hAnsi="Arial" w:cs="Arial"/>
                <w:i/>
                <w:noProof/>
                <w:sz w:val="16"/>
                <w:szCs w:val="16"/>
              </w:rPr>
            </w:pPr>
          </w:p>
        </w:tc>
        <w:tc>
          <w:tcPr>
            <w:tcW w:w="271" w:type="pct"/>
            <w:tcBorders>
              <w:top w:val="single" w:sz="4" w:space="0" w:color="auto"/>
              <w:left w:val="single" w:sz="4" w:space="0" w:color="auto"/>
              <w:bottom w:val="single" w:sz="4" w:space="0" w:color="auto"/>
              <w:right w:val="single" w:sz="4" w:space="0" w:color="auto"/>
            </w:tcBorders>
          </w:tcPr>
          <w:p w:rsidR="00754C28" w:rsidRPr="001D50E3" w:rsidRDefault="00754C28" w:rsidP="008768C7">
            <w:pPr>
              <w:spacing w:after="60" w:line="276" w:lineRule="auto"/>
              <w:rPr>
                <w:rFonts w:ascii="Arial" w:eastAsia="Calibri" w:hAnsi="Arial" w:cs="Arial"/>
                <w:i/>
                <w:noProof/>
                <w:sz w:val="16"/>
                <w:szCs w:val="16"/>
              </w:rPr>
            </w:pPr>
          </w:p>
        </w:tc>
        <w:tc>
          <w:tcPr>
            <w:tcW w:w="272" w:type="pct"/>
            <w:tcBorders>
              <w:top w:val="single" w:sz="4" w:space="0" w:color="auto"/>
              <w:left w:val="single" w:sz="4" w:space="0" w:color="auto"/>
              <w:bottom w:val="single" w:sz="4" w:space="0" w:color="auto"/>
              <w:right w:val="single" w:sz="4" w:space="0" w:color="auto"/>
            </w:tcBorders>
          </w:tcPr>
          <w:p w:rsidR="00754C28" w:rsidRPr="001D50E3" w:rsidRDefault="00754C28" w:rsidP="008768C7">
            <w:pPr>
              <w:spacing w:after="60" w:line="276" w:lineRule="auto"/>
              <w:rPr>
                <w:rFonts w:ascii="Arial" w:eastAsia="Calibri" w:hAnsi="Arial" w:cs="Arial"/>
                <w:i/>
                <w:noProof/>
                <w:sz w:val="16"/>
                <w:szCs w:val="16"/>
              </w:rPr>
            </w:pPr>
          </w:p>
        </w:tc>
        <w:tc>
          <w:tcPr>
            <w:tcW w:w="349" w:type="pct"/>
            <w:tcBorders>
              <w:top w:val="single" w:sz="4" w:space="0" w:color="auto"/>
              <w:left w:val="single" w:sz="4" w:space="0" w:color="auto"/>
              <w:bottom w:val="single" w:sz="4" w:space="0" w:color="auto"/>
              <w:right w:val="single" w:sz="4" w:space="0" w:color="auto"/>
            </w:tcBorders>
          </w:tcPr>
          <w:p w:rsidR="00754C28" w:rsidRPr="001D50E3" w:rsidRDefault="00754C28" w:rsidP="008768C7">
            <w:pPr>
              <w:spacing w:after="60" w:line="276" w:lineRule="auto"/>
              <w:rPr>
                <w:rFonts w:ascii="Arial" w:eastAsia="Calibri" w:hAnsi="Arial" w:cs="Arial"/>
                <w:i/>
                <w:noProof/>
                <w:sz w:val="16"/>
                <w:szCs w:val="16"/>
              </w:rPr>
            </w:pPr>
          </w:p>
        </w:tc>
        <w:tc>
          <w:tcPr>
            <w:tcW w:w="356" w:type="pct"/>
            <w:tcBorders>
              <w:top w:val="single" w:sz="4" w:space="0" w:color="auto"/>
              <w:left w:val="single" w:sz="4" w:space="0" w:color="auto"/>
              <w:bottom w:val="single" w:sz="4" w:space="0" w:color="auto"/>
              <w:right w:val="single" w:sz="4" w:space="0" w:color="auto"/>
            </w:tcBorders>
          </w:tcPr>
          <w:p w:rsidR="00754C28" w:rsidRPr="001D50E3" w:rsidRDefault="00754C28" w:rsidP="008768C7">
            <w:pPr>
              <w:spacing w:after="60" w:line="276" w:lineRule="auto"/>
              <w:rPr>
                <w:rFonts w:ascii="Arial" w:eastAsia="Calibri" w:hAnsi="Arial" w:cs="Arial"/>
                <w:i/>
                <w:noProof/>
                <w:sz w:val="16"/>
                <w:szCs w:val="16"/>
              </w:rPr>
            </w:pPr>
          </w:p>
        </w:tc>
      </w:tr>
      <w:tr w:rsidR="00754C28" w:rsidRPr="001D50E3" w:rsidTr="00754C28">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54C28" w:rsidRPr="001D50E3" w:rsidRDefault="00754C28" w:rsidP="008768C7">
            <w:pPr>
              <w:spacing w:line="276" w:lineRule="auto"/>
              <w:rPr>
                <w:rFonts w:ascii="Arial" w:eastAsia="Calibri" w:hAnsi="Arial" w:cs="Arial"/>
                <w:i/>
                <w:noProof/>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54C28" w:rsidRPr="001D50E3" w:rsidRDefault="00754C28" w:rsidP="008768C7">
            <w:pPr>
              <w:spacing w:line="276" w:lineRule="auto"/>
              <w:rPr>
                <w:rFonts w:ascii="Arial" w:eastAsia="Calibri" w:hAnsi="Arial" w:cs="Arial"/>
                <w:b/>
                <w:i/>
                <w:noProof/>
                <w:sz w:val="16"/>
                <w:szCs w:val="16"/>
              </w:rPr>
            </w:pPr>
          </w:p>
        </w:tc>
        <w:tc>
          <w:tcPr>
            <w:tcW w:w="426" w:type="pct"/>
            <w:tcBorders>
              <w:top w:val="single" w:sz="4" w:space="0" w:color="auto"/>
              <w:left w:val="single" w:sz="4" w:space="0" w:color="auto"/>
              <w:bottom w:val="single" w:sz="4" w:space="0" w:color="auto"/>
              <w:right w:val="single" w:sz="4" w:space="0" w:color="auto"/>
            </w:tcBorders>
            <w:hideMark/>
          </w:tcPr>
          <w:p w:rsidR="00754C28" w:rsidRPr="001D50E3" w:rsidRDefault="00754C28" w:rsidP="008768C7">
            <w:pPr>
              <w:spacing w:after="160" w:line="276" w:lineRule="auto"/>
              <w:rPr>
                <w:rFonts w:ascii="Arial" w:eastAsia="Calibri" w:hAnsi="Arial" w:cs="Arial"/>
                <w:i/>
                <w:noProof/>
                <w:sz w:val="16"/>
                <w:szCs w:val="20"/>
              </w:rPr>
            </w:pPr>
            <w:r w:rsidRPr="001D50E3">
              <w:rPr>
                <w:rFonts w:ascii="Arial" w:eastAsia="Calibri" w:hAnsi="Arial" w:cs="Arial"/>
                <w:i/>
                <w:noProof/>
                <w:color w:val="FF0000"/>
                <w:sz w:val="16"/>
                <w:szCs w:val="20"/>
              </w:rPr>
              <w:t>OCTP</w:t>
            </w:r>
            <w:r w:rsidRPr="001D50E3">
              <w:rPr>
                <w:rFonts w:ascii="Arial" w:eastAsia="Calibri" w:hAnsi="Arial" w:cs="Arial"/>
                <w:i/>
                <w:noProof/>
                <w:sz w:val="16"/>
                <w:szCs w:val="20"/>
                <w:vertAlign w:val="superscript"/>
              </w:rPr>
              <w:footnoteRef/>
            </w:r>
          </w:p>
        </w:tc>
        <w:tc>
          <w:tcPr>
            <w:tcW w:w="504" w:type="pct"/>
            <w:tcBorders>
              <w:top w:val="single" w:sz="4" w:space="0" w:color="auto"/>
              <w:left w:val="single" w:sz="4" w:space="0" w:color="auto"/>
              <w:bottom w:val="single" w:sz="4" w:space="0" w:color="auto"/>
              <w:right w:val="single" w:sz="4" w:space="0" w:color="auto"/>
            </w:tcBorders>
          </w:tcPr>
          <w:p w:rsidR="00754C28" w:rsidRPr="001D50E3" w:rsidRDefault="00754C28" w:rsidP="008768C7">
            <w:pPr>
              <w:spacing w:after="60" w:line="276" w:lineRule="auto"/>
              <w:rPr>
                <w:rFonts w:ascii="Arial" w:eastAsia="Calibri" w:hAnsi="Arial" w:cs="Arial"/>
                <w:i/>
                <w:noProof/>
                <w:sz w:val="16"/>
                <w:szCs w:val="16"/>
              </w:rPr>
            </w:pPr>
          </w:p>
        </w:tc>
        <w:tc>
          <w:tcPr>
            <w:tcW w:w="349" w:type="pct"/>
            <w:tcBorders>
              <w:top w:val="single" w:sz="4" w:space="0" w:color="auto"/>
              <w:left w:val="single" w:sz="4" w:space="0" w:color="auto"/>
              <w:bottom w:val="single" w:sz="4" w:space="0" w:color="auto"/>
              <w:right w:val="single" w:sz="4" w:space="0" w:color="auto"/>
            </w:tcBorders>
          </w:tcPr>
          <w:p w:rsidR="00754C28" w:rsidRPr="001D50E3" w:rsidRDefault="00754C28" w:rsidP="008768C7">
            <w:pPr>
              <w:spacing w:after="60" w:line="276" w:lineRule="auto"/>
              <w:rPr>
                <w:rFonts w:ascii="Arial" w:eastAsia="Calibri" w:hAnsi="Arial" w:cs="Arial"/>
                <w:i/>
                <w:noProof/>
                <w:sz w:val="16"/>
                <w:szCs w:val="16"/>
              </w:rPr>
            </w:pPr>
          </w:p>
        </w:tc>
        <w:tc>
          <w:tcPr>
            <w:tcW w:w="349" w:type="pct"/>
            <w:tcBorders>
              <w:top w:val="single" w:sz="4" w:space="0" w:color="auto"/>
              <w:left w:val="single" w:sz="4" w:space="0" w:color="auto"/>
              <w:bottom w:val="single" w:sz="4" w:space="0" w:color="auto"/>
              <w:right w:val="single" w:sz="4" w:space="0" w:color="auto"/>
            </w:tcBorders>
          </w:tcPr>
          <w:p w:rsidR="00754C28" w:rsidRPr="001D50E3" w:rsidRDefault="00754C28" w:rsidP="008768C7">
            <w:pPr>
              <w:spacing w:after="60" w:line="276" w:lineRule="auto"/>
              <w:rPr>
                <w:rFonts w:ascii="Arial" w:eastAsia="Calibri" w:hAnsi="Arial" w:cs="Arial"/>
                <w:i/>
                <w:noProof/>
                <w:sz w:val="16"/>
                <w:szCs w:val="16"/>
              </w:rPr>
            </w:pPr>
          </w:p>
        </w:tc>
        <w:tc>
          <w:tcPr>
            <w:tcW w:w="310" w:type="pct"/>
            <w:tcBorders>
              <w:top w:val="single" w:sz="4" w:space="0" w:color="auto"/>
              <w:left w:val="single" w:sz="4" w:space="0" w:color="auto"/>
              <w:bottom w:val="single" w:sz="4" w:space="0" w:color="auto"/>
              <w:right w:val="single" w:sz="4" w:space="0" w:color="auto"/>
            </w:tcBorders>
          </w:tcPr>
          <w:p w:rsidR="00754C28" w:rsidRPr="001D50E3" w:rsidRDefault="00754C28" w:rsidP="008768C7">
            <w:pPr>
              <w:spacing w:after="60" w:line="276" w:lineRule="auto"/>
              <w:rPr>
                <w:rFonts w:ascii="Arial" w:eastAsia="Calibri" w:hAnsi="Arial" w:cs="Arial"/>
                <w:i/>
                <w:noProof/>
                <w:sz w:val="16"/>
                <w:szCs w:val="16"/>
              </w:rPr>
            </w:pPr>
          </w:p>
        </w:tc>
        <w:tc>
          <w:tcPr>
            <w:tcW w:w="349" w:type="pct"/>
            <w:tcBorders>
              <w:top w:val="single" w:sz="4" w:space="0" w:color="auto"/>
              <w:left w:val="single" w:sz="4" w:space="0" w:color="auto"/>
              <w:bottom w:val="single" w:sz="4" w:space="0" w:color="auto"/>
              <w:right w:val="single" w:sz="4" w:space="0" w:color="auto"/>
            </w:tcBorders>
          </w:tcPr>
          <w:p w:rsidR="00754C28" w:rsidRPr="001D50E3" w:rsidRDefault="00754C28" w:rsidP="008768C7">
            <w:pPr>
              <w:spacing w:after="60" w:line="276" w:lineRule="auto"/>
              <w:rPr>
                <w:rFonts w:ascii="Arial" w:eastAsia="Calibri" w:hAnsi="Arial" w:cs="Arial"/>
                <w:i/>
                <w:noProof/>
                <w:sz w:val="16"/>
                <w:szCs w:val="16"/>
              </w:rPr>
            </w:pPr>
          </w:p>
        </w:tc>
        <w:tc>
          <w:tcPr>
            <w:tcW w:w="271" w:type="pct"/>
            <w:tcBorders>
              <w:top w:val="single" w:sz="4" w:space="0" w:color="auto"/>
              <w:left w:val="single" w:sz="4" w:space="0" w:color="auto"/>
              <w:bottom w:val="single" w:sz="4" w:space="0" w:color="auto"/>
              <w:right w:val="single" w:sz="4" w:space="0" w:color="auto"/>
            </w:tcBorders>
          </w:tcPr>
          <w:p w:rsidR="00754C28" w:rsidRPr="001D50E3" w:rsidRDefault="00754C28" w:rsidP="008768C7">
            <w:pPr>
              <w:spacing w:after="60" w:line="276" w:lineRule="auto"/>
              <w:rPr>
                <w:rFonts w:ascii="Arial" w:eastAsia="Calibri" w:hAnsi="Arial" w:cs="Arial"/>
                <w:i/>
                <w:noProof/>
                <w:sz w:val="16"/>
                <w:szCs w:val="16"/>
              </w:rPr>
            </w:pPr>
          </w:p>
        </w:tc>
        <w:tc>
          <w:tcPr>
            <w:tcW w:w="272" w:type="pct"/>
            <w:tcBorders>
              <w:top w:val="single" w:sz="4" w:space="0" w:color="auto"/>
              <w:left w:val="single" w:sz="4" w:space="0" w:color="auto"/>
              <w:bottom w:val="single" w:sz="4" w:space="0" w:color="auto"/>
              <w:right w:val="single" w:sz="4" w:space="0" w:color="auto"/>
            </w:tcBorders>
          </w:tcPr>
          <w:p w:rsidR="00754C28" w:rsidRPr="001D50E3" w:rsidRDefault="00754C28" w:rsidP="008768C7">
            <w:pPr>
              <w:spacing w:after="60" w:line="276" w:lineRule="auto"/>
              <w:rPr>
                <w:rFonts w:ascii="Arial" w:eastAsia="Calibri" w:hAnsi="Arial" w:cs="Arial"/>
                <w:i/>
                <w:noProof/>
                <w:sz w:val="16"/>
                <w:szCs w:val="16"/>
              </w:rPr>
            </w:pPr>
          </w:p>
        </w:tc>
        <w:tc>
          <w:tcPr>
            <w:tcW w:w="349" w:type="pct"/>
            <w:tcBorders>
              <w:top w:val="single" w:sz="4" w:space="0" w:color="auto"/>
              <w:left w:val="single" w:sz="4" w:space="0" w:color="auto"/>
              <w:bottom w:val="single" w:sz="4" w:space="0" w:color="auto"/>
              <w:right w:val="single" w:sz="4" w:space="0" w:color="auto"/>
            </w:tcBorders>
          </w:tcPr>
          <w:p w:rsidR="00754C28" w:rsidRPr="001D50E3" w:rsidRDefault="00754C28" w:rsidP="008768C7">
            <w:pPr>
              <w:spacing w:after="60" w:line="276" w:lineRule="auto"/>
              <w:rPr>
                <w:rFonts w:ascii="Arial" w:eastAsia="Calibri" w:hAnsi="Arial" w:cs="Arial"/>
                <w:i/>
                <w:noProof/>
                <w:sz w:val="16"/>
                <w:szCs w:val="16"/>
              </w:rPr>
            </w:pPr>
          </w:p>
        </w:tc>
        <w:tc>
          <w:tcPr>
            <w:tcW w:w="356" w:type="pct"/>
            <w:tcBorders>
              <w:top w:val="single" w:sz="4" w:space="0" w:color="auto"/>
              <w:left w:val="single" w:sz="4" w:space="0" w:color="auto"/>
              <w:bottom w:val="single" w:sz="4" w:space="0" w:color="auto"/>
              <w:right w:val="single" w:sz="4" w:space="0" w:color="auto"/>
            </w:tcBorders>
          </w:tcPr>
          <w:p w:rsidR="00754C28" w:rsidRPr="001D50E3" w:rsidRDefault="00754C28" w:rsidP="008768C7">
            <w:pPr>
              <w:spacing w:after="60" w:line="276" w:lineRule="auto"/>
              <w:rPr>
                <w:rFonts w:ascii="Arial" w:eastAsia="Calibri" w:hAnsi="Arial" w:cs="Arial"/>
                <w:i/>
                <w:noProof/>
                <w:sz w:val="16"/>
                <w:szCs w:val="16"/>
              </w:rPr>
            </w:pPr>
          </w:p>
        </w:tc>
      </w:tr>
      <w:tr w:rsidR="00754C28" w:rsidRPr="001D50E3" w:rsidTr="00754C28">
        <w:trPr>
          <w:trHeight w:val="16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54C28" w:rsidRPr="001D50E3" w:rsidRDefault="00754C28" w:rsidP="008768C7">
            <w:pPr>
              <w:spacing w:line="276" w:lineRule="auto"/>
              <w:rPr>
                <w:rFonts w:ascii="Arial" w:eastAsia="Calibri" w:hAnsi="Arial" w:cs="Arial"/>
                <w:i/>
                <w:noProof/>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54C28" w:rsidRPr="001D50E3" w:rsidRDefault="00754C28" w:rsidP="008768C7">
            <w:pPr>
              <w:spacing w:line="276" w:lineRule="auto"/>
              <w:rPr>
                <w:rFonts w:ascii="Arial" w:eastAsia="Calibri" w:hAnsi="Arial" w:cs="Arial"/>
                <w:b/>
                <w:i/>
                <w:noProof/>
                <w:sz w:val="16"/>
                <w:szCs w:val="16"/>
              </w:rPr>
            </w:pPr>
          </w:p>
        </w:tc>
        <w:tc>
          <w:tcPr>
            <w:tcW w:w="426" w:type="pct"/>
            <w:tcBorders>
              <w:top w:val="single" w:sz="4" w:space="0" w:color="auto"/>
              <w:left w:val="single" w:sz="4" w:space="0" w:color="auto"/>
              <w:bottom w:val="single" w:sz="4" w:space="0" w:color="auto"/>
              <w:right w:val="single" w:sz="4" w:space="0" w:color="auto"/>
            </w:tcBorders>
            <w:hideMark/>
          </w:tcPr>
          <w:p w:rsidR="00754C28" w:rsidRPr="001D50E3" w:rsidRDefault="00754C28" w:rsidP="008768C7">
            <w:pPr>
              <w:spacing w:after="160" w:line="276" w:lineRule="auto"/>
              <w:rPr>
                <w:rFonts w:ascii="Arial" w:eastAsia="Calibri" w:hAnsi="Arial" w:cs="Arial"/>
                <w:i/>
                <w:noProof/>
                <w:sz w:val="16"/>
                <w:szCs w:val="20"/>
              </w:rPr>
            </w:pPr>
            <w:r w:rsidRPr="001D50E3">
              <w:rPr>
                <w:rFonts w:ascii="Arial" w:eastAsia="Calibri" w:hAnsi="Arial" w:cs="Arial"/>
                <w:i/>
                <w:noProof/>
                <w:sz w:val="16"/>
                <w:szCs w:val="20"/>
              </w:rPr>
              <w:t>Fondet Interreg</w:t>
            </w:r>
          </w:p>
        </w:tc>
        <w:tc>
          <w:tcPr>
            <w:tcW w:w="504" w:type="pct"/>
            <w:tcBorders>
              <w:top w:val="single" w:sz="4" w:space="0" w:color="auto"/>
              <w:left w:val="single" w:sz="4" w:space="0" w:color="auto"/>
              <w:bottom w:val="single" w:sz="4" w:space="0" w:color="auto"/>
              <w:right w:val="single" w:sz="4" w:space="0" w:color="auto"/>
            </w:tcBorders>
          </w:tcPr>
          <w:p w:rsidR="00754C28" w:rsidRPr="001D50E3" w:rsidRDefault="00754C28" w:rsidP="008768C7">
            <w:pPr>
              <w:spacing w:after="60" w:line="276" w:lineRule="auto"/>
              <w:rPr>
                <w:rFonts w:ascii="Arial" w:eastAsia="Calibri" w:hAnsi="Arial" w:cs="Arial"/>
                <w:i/>
                <w:noProof/>
                <w:sz w:val="16"/>
                <w:szCs w:val="16"/>
              </w:rPr>
            </w:pPr>
          </w:p>
        </w:tc>
        <w:tc>
          <w:tcPr>
            <w:tcW w:w="349" w:type="pct"/>
            <w:tcBorders>
              <w:top w:val="single" w:sz="4" w:space="0" w:color="auto"/>
              <w:left w:val="single" w:sz="4" w:space="0" w:color="auto"/>
              <w:bottom w:val="single" w:sz="4" w:space="0" w:color="auto"/>
              <w:right w:val="single" w:sz="4" w:space="0" w:color="auto"/>
            </w:tcBorders>
          </w:tcPr>
          <w:p w:rsidR="00754C28" w:rsidRPr="001D50E3" w:rsidRDefault="00754C28" w:rsidP="008768C7">
            <w:pPr>
              <w:spacing w:after="60" w:line="276" w:lineRule="auto"/>
              <w:rPr>
                <w:rFonts w:ascii="Arial" w:eastAsia="Calibri" w:hAnsi="Arial" w:cs="Arial"/>
                <w:i/>
                <w:noProof/>
                <w:sz w:val="16"/>
                <w:szCs w:val="16"/>
              </w:rPr>
            </w:pPr>
          </w:p>
        </w:tc>
        <w:tc>
          <w:tcPr>
            <w:tcW w:w="349" w:type="pct"/>
            <w:tcBorders>
              <w:top w:val="single" w:sz="4" w:space="0" w:color="auto"/>
              <w:left w:val="single" w:sz="4" w:space="0" w:color="auto"/>
              <w:bottom w:val="single" w:sz="4" w:space="0" w:color="auto"/>
              <w:right w:val="single" w:sz="4" w:space="0" w:color="auto"/>
            </w:tcBorders>
          </w:tcPr>
          <w:p w:rsidR="00754C28" w:rsidRPr="001D50E3" w:rsidRDefault="00754C28" w:rsidP="008768C7">
            <w:pPr>
              <w:spacing w:after="60" w:line="276" w:lineRule="auto"/>
              <w:rPr>
                <w:rFonts w:ascii="Arial" w:eastAsia="Calibri" w:hAnsi="Arial" w:cs="Arial"/>
                <w:i/>
                <w:noProof/>
                <w:sz w:val="16"/>
                <w:szCs w:val="16"/>
              </w:rPr>
            </w:pPr>
          </w:p>
        </w:tc>
        <w:tc>
          <w:tcPr>
            <w:tcW w:w="310" w:type="pct"/>
            <w:tcBorders>
              <w:top w:val="single" w:sz="4" w:space="0" w:color="auto"/>
              <w:left w:val="single" w:sz="4" w:space="0" w:color="auto"/>
              <w:bottom w:val="single" w:sz="4" w:space="0" w:color="auto"/>
              <w:right w:val="single" w:sz="4" w:space="0" w:color="auto"/>
            </w:tcBorders>
          </w:tcPr>
          <w:p w:rsidR="00754C28" w:rsidRPr="001D50E3" w:rsidRDefault="00754C28" w:rsidP="008768C7">
            <w:pPr>
              <w:spacing w:after="60" w:line="276" w:lineRule="auto"/>
              <w:rPr>
                <w:rFonts w:ascii="Arial" w:eastAsia="Calibri" w:hAnsi="Arial" w:cs="Arial"/>
                <w:i/>
                <w:noProof/>
                <w:sz w:val="16"/>
                <w:szCs w:val="16"/>
              </w:rPr>
            </w:pPr>
          </w:p>
        </w:tc>
        <w:tc>
          <w:tcPr>
            <w:tcW w:w="349" w:type="pct"/>
            <w:tcBorders>
              <w:top w:val="single" w:sz="4" w:space="0" w:color="auto"/>
              <w:left w:val="single" w:sz="4" w:space="0" w:color="auto"/>
              <w:bottom w:val="single" w:sz="4" w:space="0" w:color="auto"/>
              <w:right w:val="single" w:sz="4" w:space="0" w:color="auto"/>
            </w:tcBorders>
          </w:tcPr>
          <w:p w:rsidR="00754C28" w:rsidRPr="001D50E3" w:rsidRDefault="00754C28" w:rsidP="008768C7">
            <w:pPr>
              <w:spacing w:after="60" w:line="276" w:lineRule="auto"/>
              <w:rPr>
                <w:rFonts w:ascii="Arial" w:eastAsia="Calibri" w:hAnsi="Arial" w:cs="Arial"/>
                <w:i/>
                <w:noProof/>
                <w:sz w:val="16"/>
                <w:szCs w:val="16"/>
              </w:rPr>
            </w:pPr>
          </w:p>
        </w:tc>
        <w:tc>
          <w:tcPr>
            <w:tcW w:w="271" w:type="pct"/>
            <w:tcBorders>
              <w:top w:val="single" w:sz="4" w:space="0" w:color="auto"/>
              <w:left w:val="single" w:sz="4" w:space="0" w:color="auto"/>
              <w:bottom w:val="single" w:sz="4" w:space="0" w:color="auto"/>
              <w:right w:val="single" w:sz="4" w:space="0" w:color="auto"/>
            </w:tcBorders>
          </w:tcPr>
          <w:p w:rsidR="00754C28" w:rsidRPr="001D50E3" w:rsidRDefault="00754C28" w:rsidP="008768C7">
            <w:pPr>
              <w:spacing w:after="60" w:line="276" w:lineRule="auto"/>
              <w:rPr>
                <w:rFonts w:ascii="Arial" w:eastAsia="Calibri" w:hAnsi="Arial" w:cs="Arial"/>
                <w:i/>
                <w:noProof/>
                <w:sz w:val="16"/>
                <w:szCs w:val="16"/>
              </w:rPr>
            </w:pPr>
          </w:p>
        </w:tc>
        <w:tc>
          <w:tcPr>
            <w:tcW w:w="272" w:type="pct"/>
            <w:tcBorders>
              <w:top w:val="single" w:sz="4" w:space="0" w:color="auto"/>
              <w:left w:val="single" w:sz="4" w:space="0" w:color="auto"/>
              <w:bottom w:val="single" w:sz="4" w:space="0" w:color="auto"/>
              <w:right w:val="single" w:sz="4" w:space="0" w:color="auto"/>
            </w:tcBorders>
          </w:tcPr>
          <w:p w:rsidR="00754C28" w:rsidRPr="001D50E3" w:rsidRDefault="00754C28" w:rsidP="008768C7">
            <w:pPr>
              <w:spacing w:after="60" w:line="276" w:lineRule="auto"/>
              <w:rPr>
                <w:rFonts w:ascii="Arial" w:eastAsia="Calibri" w:hAnsi="Arial" w:cs="Arial"/>
                <w:i/>
                <w:noProof/>
                <w:sz w:val="16"/>
                <w:szCs w:val="16"/>
              </w:rPr>
            </w:pPr>
          </w:p>
        </w:tc>
        <w:tc>
          <w:tcPr>
            <w:tcW w:w="349" w:type="pct"/>
            <w:tcBorders>
              <w:top w:val="single" w:sz="4" w:space="0" w:color="auto"/>
              <w:left w:val="single" w:sz="4" w:space="0" w:color="auto"/>
              <w:bottom w:val="single" w:sz="4" w:space="0" w:color="auto"/>
              <w:right w:val="single" w:sz="4" w:space="0" w:color="auto"/>
            </w:tcBorders>
          </w:tcPr>
          <w:p w:rsidR="00754C28" w:rsidRPr="001D50E3" w:rsidRDefault="00754C28" w:rsidP="008768C7">
            <w:pPr>
              <w:spacing w:after="60" w:line="276" w:lineRule="auto"/>
              <w:rPr>
                <w:rFonts w:ascii="Arial" w:eastAsia="Calibri" w:hAnsi="Arial" w:cs="Arial"/>
                <w:i/>
                <w:noProof/>
                <w:sz w:val="16"/>
                <w:szCs w:val="16"/>
              </w:rPr>
            </w:pPr>
          </w:p>
        </w:tc>
        <w:tc>
          <w:tcPr>
            <w:tcW w:w="356" w:type="pct"/>
            <w:tcBorders>
              <w:top w:val="single" w:sz="4" w:space="0" w:color="auto"/>
              <w:left w:val="single" w:sz="4" w:space="0" w:color="auto"/>
              <w:bottom w:val="single" w:sz="4" w:space="0" w:color="auto"/>
              <w:right w:val="single" w:sz="4" w:space="0" w:color="auto"/>
            </w:tcBorders>
          </w:tcPr>
          <w:p w:rsidR="00754C28" w:rsidRPr="001D50E3" w:rsidRDefault="00754C28" w:rsidP="008768C7">
            <w:pPr>
              <w:spacing w:after="60" w:line="276" w:lineRule="auto"/>
              <w:rPr>
                <w:rFonts w:ascii="Arial" w:eastAsia="Calibri" w:hAnsi="Arial" w:cs="Arial"/>
                <w:i/>
                <w:noProof/>
                <w:sz w:val="16"/>
                <w:szCs w:val="16"/>
              </w:rPr>
            </w:pPr>
          </w:p>
        </w:tc>
      </w:tr>
    </w:tbl>
    <w:p w:rsidR="00754C28" w:rsidRPr="0054043D" w:rsidRDefault="00754C28" w:rsidP="00FF2EC0">
      <w:pPr>
        <w:pStyle w:val="FootnoteText"/>
        <w:rPr>
          <w:rFonts w:ascii="Arial" w:hAnsi="Arial" w:cs="Arial"/>
          <w:lang w:val="sq-AL"/>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EA1FCF"/>
    <w:multiLevelType w:val="multilevel"/>
    <w:tmpl w:val="0D1E9386"/>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2D1"/>
    <w:rsid w:val="00056262"/>
    <w:rsid w:val="00060D84"/>
    <w:rsid w:val="000E010F"/>
    <w:rsid w:val="000F21BC"/>
    <w:rsid w:val="001D50E3"/>
    <w:rsid w:val="001F5204"/>
    <w:rsid w:val="00223BF1"/>
    <w:rsid w:val="00300E85"/>
    <w:rsid w:val="00326128"/>
    <w:rsid w:val="00342248"/>
    <w:rsid w:val="003511DF"/>
    <w:rsid w:val="003941CB"/>
    <w:rsid w:val="00406AAB"/>
    <w:rsid w:val="00480AFA"/>
    <w:rsid w:val="00487865"/>
    <w:rsid w:val="00513DDB"/>
    <w:rsid w:val="00597CB8"/>
    <w:rsid w:val="005E251B"/>
    <w:rsid w:val="006934A2"/>
    <w:rsid w:val="006C3900"/>
    <w:rsid w:val="007002D1"/>
    <w:rsid w:val="00754C28"/>
    <w:rsid w:val="007E59B5"/>
    <w:rsid w:val="008768C7"/>
    <w:rsid w:val="00AA172B"/>
    <w:rsid w:val="00AF4A28"/>
    <w:rsid w:val="00D23A70"/>
    <w:rsid w:val="00D747ED"/>
    <w:rsid w:val="00E21E75"/>
    <w:rsid w:val="00F47ED4"/>
    <w:rsid w:val="00FF2E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1D9102-BE14-46DF-85FE-9316715E2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02D1"/>
    <w:pPr>
      <w:spacing w:line="25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02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02D1"/>
    <w:rPr>
      <w:lang w:val="en-GB"/>
    </w:rPr>
  </w:style>
  <w:style w:type="paragraph" w:styleId="Footer">
    <w:name w:val="footer"/>
    <w:basedOn w:val="Normal"/>
    <w:link w:val="FooterChar"/>
    <w:uiPriority w:val="99"/>
    <w:unhideWhenUsed/>
    <w:rsid w:val="007002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02D1"/>
    <w:rPr>
      <w:lang w:val="en-GB"/>
    </w:rPr>
  </w:style>
  <w:style w:type="character" w:styleId="Hyperlink">
    <w:name w:val="Hyperlink"/>
    <w:basedOn w:val="DefaultParagraphFont"/>
    <w:uiPriority w:val="99"/>
    <w:unhideWhenUsed/>
    <w:rsid w:val="005E251B"/>
    <w:rPr>
      <w:color w:val="0563C1" w:themeColor="hyperlink"/>
      <w:u w:val="single"/>
    </w:rPr>
  </w:style>
  <w:style w:type="character" w:customStyle="1" w:styleId="FootnoteTextChar">
    <w:name w:val="Footnote Text Char"/>
    <w:aliases w:val="Footnote Text Char Char Char Char Char Char Char,fn Char,single space Char,FOOTNOTES Char,Footnote Text Char Char Char,ft Char,Texto nota pie Car Char,Fußnotentext Char Char,Fußnotentext arial Char,ALTS FOOTNOTE Char,ADB Char"/>
    <w:basedOn w:val="DefaultParagraphFont"/>
    <w:link w:val="FootnoteText"/>
    <w:uiPriority w:val="99"/>
    <w:semiHidden/>
    <w:locked/>
    <w:rsid w:val="005E251B"/>
    <w:rPr>
      <w:sz w:val="20"/>
      <w:szCs w:val="20"/>
      <w:lang w:val="en-GB"/>
    </w:rPr>
  </w:style>
  <w:style w:type="paragraph" w:styleId="FootnoteText">
    <w:name w:val="footnote text"/>
    <w:aliases w:val="Footnote Text Char Char Char Char Char Char,fn,single space,FOOTNOTES,Footnote Text Char Char,ft,Texto nota pie Car,Fußnotentext Char,Fußnotentext arial,ALTS FOOTNOTE,ADB,pod carou,Footnote text,Fußnotentextf"/>
    <w:basedOn w:val="Normal"/>
    <w:link w:val="FootnoteTextChar"/>
    <w:uiPriority w:val="99"/>
    <w:semiHidden/>
    <w:unhideWhenUsed/>
    <w:qFormat/>
    <w:rsid w:val="005E251B"/>
    <w:pPr>
      <w:spacing w:after="0" w:line="240" w:lineRule="auto"/>
    </w:pPr>
    <w:rPr>
      <w:sz w:val="20"/>
      <w:szCs w:val="20"/>
    </w:rPr>
  </w:style>
  <w:style w:type="character" w:customStyle="1" w:styleId="FootnoteTextChar1">
    <w:name w:val="Footnote Text Char1"/>
    <w:basedOn w:val="DefaultParagraphFont"/>
    <w:uiPriority w:val="99"/>
    <w:semiHidden/>
    <w:rsid w:val="005E251B"/>
    <w:rPr>
      <w:sz w:val="20"/>
      <w:szCs w:val="20"/>
      <w:lang w:val="en-GB"/>
    </w:rPr>
  </w:style>
  <w:style w:type="character" w:styleId="FootnoteReference">
    <w:name w:val="footnote reference"/>
    <w:aliases w:val="Footnote call,BVI fnr,SUPERS,Footnote symbol,(Footnote Reference),Footnote,Voetnootverwijzing,Times 10 Point,Exposant 3 Point,Footnote reference number,note TESI,stylish,Ref,de nota al pie,Footnote Reference1,16 Point,fr,o,FR,number"/>
    <w:basedOn w:val="DefaultParagraphFont"/>
    <w:link w:val="BVIfnrZnak"/>
    <w:uiPriority w:val="99"/>
    <w:unhideWhenUsed/>
    <w:qFormat/>
    <w:rsid w:val="005E251B"/>
    <w:rPr>
      <w:b/>
      <w:vertAlign w:val="superscript"/>
    </w:rPr>
  </w:style>
  <w:style w:type="paragraph" w:customStyle="1" w:styleId="BVIfnrZnak">
    <w:name w:val="BVI fnr Знак Знак Znak"/>
    <w:aliases w:val="BVI fnr Car Car Знак Знак Znak,BVI fnr Char Car Car Car Знак Знак Znak,BVI fnr Char Car Car Car Char Знак Знак Znak,BVI fnr Car Знак Знак Znak,BVI fnr Car Car Car Car Знак Знак Znak,ftref Znak"/>
    <w:basedOn w:val="Normal"/>
    <w:link w:val="FootnoteReference"/>
    <w:uiPriority w:val="99"/>
    <w:rsid w:val="005E251B"/>
    <w:pPr>
      <w:spacing w:line="240" w:lineRule="exact"/>
    </w:pPr>
    <w:rPr>
      <w:b/>
      <w:vertAlign w:val="superscript"/>
      <w:lang w:val="en-US"/>
    </w:rPr>
  </w:style>
  <w:style w:type="table" w:customStyle="1" w:styleId="TableGrid1">
    <w:name w:val="Table Grid1"/>
    <w:basedOn w:val="TableNormal"/>
    <w:uiPriority w:val="59"/>
    <w:rsid w:val="00060D84"/>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F2EC0"/>
    <w:pPr>
      <w:spacing w:after="200" w:line="276" w:lineRule="auto"/>
      <w:ind w:left="720"/>
      <w:contextualSpacing/>
    </w:pPr>
    <w:rPr>
      <w:lang w:val="mk-MK"/>
    </w:rPr>
  </w:style>
  <w:style w:type="paragraph" w:styleId="HTMLPreformatted">
    <w:name w:val="HTML Preformatted"/>
    <w:basedOn w:val="Normal"/>
    <w:link w:val="HTMLPreformattedChar"/>
    <w:uiPriority w:val="99"/>
    <w:semiHidden/>
    <w:unhideWhenUsed/>
    <w:rsid w:val="00FF2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mk-MK" w:eastAsia="mk-MK"/>
    </w:rPr>
  </w:style>
  <w:style w:type="character" w:customStyle="1" w:styleId="HTMLPreformattedChar">
    <w:name w:val="HTML Preformatted Char"/>
    <w:basedOn w:val="DefaultParagraphFont"/>
    <w:link w:val="HTMLPreformatted"/>
    <w:uiPriority w:val="99"/>
    <w:semiHidden/>
    <w:rsid w:val="00FF2EC0"/>
    <w:rPr>
      <w:rFonts w:ascii="Courier New" w:eastAsia="Times New Roman" w:hAnsi="Courier New" w:cs="Courier New"/>
      <w:sz w:val="20"/>
      <w:szCs w:val="20"/>
      <w:lang w:val="mk-MK" w:eastAsia="mk-MK"/>
    </w:rPr>
  </w:style>
  <w:style w:type="character" w:customStyle="1" w:styleId="y2iqfc">
    <w:name w:val="y2iqfc"/>
    <w:basedOn w:val="DefaultParagraphFont"/>
    <w:rsid w:val="00FF2EC0"/>
  </w:style>
  <w:style w:type="table" w:styleId="TableGrid">
    <w:name w:val="Table Grid"/>
    <w:basedOn w:val="TableNormal"/>
    <w:uiPriority w:val="59"/>
    <w:rsid w:val="00FF2EC0"/>
    <w:pPr>
      <w:spacing w:after="0" w:line="240" w:lineRule="auto"/>
    </w:pPr>
    <w:rPr>
      <w:lang w:val="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F2EC0"/>
    <w:pPr>
      <w:spacing w:before="100" w:beforeAutospacing="1" w:after="100" w:afterAutospacing="1" w:line="240" w:lineRule="auto"/>
    </w:pPr>
    <w:rPr>
      <w:rFonts w:ascii="Times New Roman" w:eastAsia="Times New Roman" w:hAnsi="Times New Roman" w:cs="Times New Roman"/>
      <w:sz w:val="24"/>
      <w:szCs w:val="24"/>
      <w:lang w:val="en-US"/>
    </w:rPr>
  </w:style>
  <w:style w:type="table" w:customStyle="1" w:styleId="TableGrid11">
    <w:name w:val="Table Grid11"/>
    <w:basedOn w:val="TableNormal"/>
    <w:uiPriority w:val="59"/>
    <w:rsid w:val="00FF2EC0"/>
    <w:pPr>
      <w:spacing w:after="0" w:line="240" w:lineRule="auto"/>
    </w:pPr>
    <w:rPr>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uiPriority w:val="59"/>
    <w:rsid w:val="00FF2EC0"/>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39"/>
    <w:rsid w:val="00FF2EC0"/>
    <w:pPr>
      <w:spacing w:after="0" w:line="240" w:lineRule="auto"/>
    </w:pPr>
    <w:rPr>
      <w:rFonts w:ascii="Times New Roman" w:eastAsia="Times New Roman" w:hAnsi="Times New Roman" w:cs="Times New Roman"/>
      <w:sz w:val="20"/>
      <w:szCs w:val="20"/>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uiPriority w:val="59"/>
    <w:rsid w:val="00FF2EC0"/>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368396">
      <w:bodyDiv w:val="1"/>
      <w:marLeft w:val="0"/>
      <w:marRight w:val="0"/>
      <w:marTop w:val="0"/>
      <w:marBottom w:val="0"/>
      <w:divBdr>
        <w:top w:val="none" w:sz="0" w:space="0" w:color="auto"/>
        <w:left w:val="none" w:sz="0" w:space="0" w:color="auto"/>
        <w:bottom w:val="none" w:sz="0" w:space="0" w:color="auto"/>
        <w:right w:val="none" w:sz="0" w:space="0" w:color="auto"/>
      </w:divBdr>
    </w:div>
    <w:div w:id="567302396">
      <w:bodyDiv w:val="1"/>
      <w:marLeft w:val="0"/>
      <w:marRight w:val="0"/>
      <w:marTop w:val="0"/>
      <w:marBottom w:val="0"/>
      <w:divBdr>
        <w:top w:val="none" w:sz="0" w:space="0" w:color="auto"/>
        <w:left w:val="none" w:sz="0" w:space="0" w:color="auto"/>
        <w:bottom w:val="none" w:sz="0" w:space="0" w:color="auto"/>
        <w:right w:val="none" w:sz="0" w:space="0" w:color="auto"/>
      </w:divBdr>
    </w:div>
    <w:div w:id="647171503">
      <w:bodyDiv w:val="1"/>
      <w:marLeft w:val="0"/>
      <w:marRight w:val="0"/>
      <w:marTop w:val="0"/>
      <w:marBottom w:val="0"/>
      <w:divBdr>
        <w:top w:val="none" w:sz="0" w:space="0" w:color="auto"/>
        <w:left w:val="none" w:sz="0" w:space="0" w:color="auto"/>
        <w:bottom w:val="none" w:sz="0" w:space="0" w:color="auto"/>
        <w:right w:val="none" w:sz="0" w:space="0" w:color="auto"/>
      </w:divBdr>
    </w:div>
    <w:div w:id="681858340">
      <w:bodyDiv w:val="1"/>
      <w:marLeft w:val="0"/>
      <w:marRight w:val="0"/>
      <w:marTop w:val="0"/>
      <w:marBottom w:val="0"/>
      <w:divBdr>
        <w:top w:val="none" w:sz="0" w:space="0" w:color="auto"/>
        <w:left w:val="none" w:sz="0" w:space="0" w:color="auto"/>
        <w:bottom w:val="none" w:sz="0" w:space="0" w:color="auto"/>
        <w:right w:val="none" w:sz="0" w:space="0" w:color="auto"/>
      </w:divBdr>
    </w:div>
    <w:div w:id="690178901">
      <w:bodyDiv w:val="1"/>
      <w:marLeft w:val="0"/>
      <w:marRight w:val="0"/>
      <w:marTop w:val="0"/>
      <w:marBottom w:val="0"/>
      <w:divBdr>
        <w:top w:val="none" w:sz="0" w:space="0" w:color="auto"/>
        <w:left w:val="none" w:sz="0" w:space="0" w:color="auto"/>
        <w:bottom w:val="none" w:sz="0" w:space="0" w:color="auto"/>
        <w:right w:val="none" w:sz="0" w:space="0" w:color="auto"/>
      </w:divBdr>
    </w:div>
    <w:div w:id="1119832370">
      <w:bodyDiv w:val="1"/>
      <w:marLeft w:val="0"/>
      <w:marRight w:val="0"/>
      <w:marTop w:val="0"/>
      <w:marBottom w:val="0"/>
      <w:divBdr>
        <w:top w:val="none" w:sz="0" w:space="0" w:color="auto"/>
        <w:left w:val="none" w:sz="0" w:space="0" w:color="auto"/>
        <w:bottom w:val="none" w:sz="0" w:space="0" w:color="auto"/>
        <w:right w:val="none" w:sz="0" w:space="0" w:color="auto"/>
      </w:divBdr>
    </w:div>
    <w:div w:id="1341465097">
      <w:bodyDiv w:val="1"/>
      <w:marLeft w:val="0"/>
      <w:marRight w:val="0"/>
      <w:marTop w:val="0"/>
      <w:marBottom w:val="0"/>
      <w:divBdr>
        <w:top w:val="none" w:sz="0" w:space="0" w:color="auto"/>
        <w:left w:val="none" w:sz="0" w:space="0" w:color="auto"/>
        <w:bottom w:val="none" w:sz="0" w:space="0" w:color="auto"/>
        <w:right w:val="none" w:sz="0" w:space="0" w:color="auto"/>
      </w:divBdr>
    </w:div>
    <w:div w:id="1377005974">
      <w:bodyDiv w:val="1"/>
      <w:marLeft w:val="0"/>
      <w:marRight w:val="0"/>
      <w:marTop w:val="0"/>
      <w:marBottom w:val="0"/>
      <w:divBdr>
        <w:top w:val="none" w:sz="0" w:space="0" w:color="auto"/>
        <w:left w:val="none" w:sz="0" w:space="0" w:color="auto"/>
        <w:bottom w:val="none" w:sz="0" w:space="0" w:color="auto"/>
        <w:right w:val="none" w:sz="0" w:space="0" w:color="auto"/>
      </w:divBdr>
    </w:div>
    <w:div w:id="1798181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digital-single-market/en/digital-economy-and-society-index-des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ec.europa.eu/eurostat/web/circular-economy/indicators/main-tables" TargetMode="External"/><Relationship Id="rId4" Type="http://schemas.openxmlformats.org/officeDocument/2006/relationships/settings" Target="settings.xml"/><Relationship Id="rId9" Type="http://schemas.openxmlformats.org/officeDocument/2006/relationships/hyperlink" Target="https://joinup.ec.europa.eu/collection/nifo-national-interoperability-framework-observatory/digital-government-factsheets-20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695F2D-D1DE-4C47-8D54-778DA8A2B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55</Pages>
  <Words>19681</Words>
  <Characters>112186</Characters>
  <Application>Microsoft Office Word</Application>
  <DocSecurity>0</DocSecurity>
  <Lines>934</Lines>
  <Paragraphs>263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Mirlinda Cice</dc:creator>
  <cp:keywords/>
  <dc:description/>
  <cp:lastModifiedBy>DELL</cp:lastModifiedBy>
  <cp:revision>2</cp:revision>
  <dcterms:created xsi:type="dcterms:W3CDTF">2022-01-19T09:42:00Z</dcterms:created>
  <dcterms:modified xsi:type="dcterms:W3CDTF">2022-01-19T09:42:00Z</dcterms:modified>
</cp:coreProperties>
</file>